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E7DE1">
      <w:pPr>
        <w:pStyle w:val="15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 w14:paraId="5AC890DC">
      <w:pPr>
        <w:pStyle w:val="15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三明学院附属小学教学设施设备</w:t>
      </w:r>
    </w:p>
    <w:p w14:paraId="28B6872C">
      <w:pPr>
        <w:pStyle w:val="15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采购需求说明书</w:t>
      </w:r>
    </w:p>
    <w:p w14:paraId="606348C2">
      <w:pPr>
        <w:pStyle w:val="15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智能化教学设备设施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）</w:t>
      </w:r>
    </w:p>
    <w:p w14:paraId="5AF10E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eastAsia="zh-CN"/>
        </w:rPr>
        <w:t>(V.2026081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>9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eastAsia="zh-CN"/>
        </w:rPr>
        <w:t>-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>20)</w:t>
      </w:r>
    </w:p>
    <w:p w14:paraId="5CE0AE0C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 w:cs="仿宋"/>
          <w:b w:val="0"/>
          <w:bCs w:val="0"/>
          <w:sz w:val="32"/>
          <w:szCs w:val="32"/>
        </w:rPr>
        <w:t>项目概况</w:t>
      </w:r>
    </w:p>
    <w:tbl>
      <w:tblPr>
        <w:tblStyle w:val="3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7333"/>
      </w:tblGrid>
      <w:tr w14:paraId="49A43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0" w:type="pct"/>
          </w:tcPr>
          <w:p w14:paraId="77202B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项目名称</w:t>
            </w:r>
          </w:p>
        </w:tc>
        <w:tc>
          <w:tcPr>
            <w:tcW w:w="4139" w:type="pct"/>
          </w:tcPr>
          <w:p w14:paraId="727D49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三明学院附属小学教学设施设备采购需求说明书（智能化教学设备设施）</w:t>
            </w:r>
          </w:p>
        </w:tc>
      </w:tr>
      <w:tr w14:paraId="147AF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0" w:type="pct"/>
          </w:tcPr>
          <w:p w14:paraId="5AACAC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建设单位</w:t>
            </w:r>
          </w:p>
        </w:tc>
        <w:tc>
          <w:tcPr>
            <w:tcW w:w="4139" w:type="pct"/>
          </w:tcPr>
          <w:p w14:paraId="037046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三明学院附属小学</w:t>
            </w:r>
          </w:p>
        </w:tc>
      </w:tr>
      <w:tr w14:paraId="024CC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0" w:type="pct"/>
          </w:tcPr>
          <w:p w14:paraId="3F3E4B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建设地点</w:t>
            </w:r>
          </w:p>
        </w:tc>
        <w:tc>
          <w:tcPr>
            <w:tcW w:w="4139" w:type="pct"/>
          </w:tcPr>
          <w:p w14:paraId="52AD2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三明学院附属小学校园内</w:t>
            </w:r>
          </w:p>
        </w:tc>
      </w:tr>
      <w:tr w14:paraId="6DE95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0" w:type="pct"/>
          </w:tcPr>
          <w:p w14:paraId="4AA018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建设周期</w:t>
            </w:r>
          </w:p>
        </w:tc>
        <w:tc>
          <w:tcPr>
            <w:tcW w:w="4139" w:type="pct"/>
          </w:tcPr>
          <w:p w14:paraId="2C0752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合同签订后</w:t>
            </w: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个月内完成竣工验收</w:t>
            </w:r>
          </w:p>
        </w:tc>
      </w:tr>
      <w:tr w14:paraId="709C5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0" w:type="pct"/>
          </w:tcPr>
          <w:p w14:paraId="2E4C36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质保期限</w:t>
            </w:r>
          </w:p>
        </w:tc>
        <w:tc>
          <w:tcPr>
            <w:tcW w:w="4139" w:type="pct"/>
          </w:tcPr>
          <w:p w14:paraId="2F129B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硬件设备要求三年原厂质保；软件/SaaS服务则明确为三年订阅制，</w:t>
            </w: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按年付费，</w:t>
            </w: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总价包含三年服务费，到期后另行协商续费。</w:t>
            </w:r>
          </w:p>
        </w:tc>
      </w:tr>
    </w:tbl>
    <w:p w14:paraId="7AE7EFB1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楷体_GB2312" w:cs="仿宋"/>
          <w:b w:val="0"/>
          <w:bCs w:val="0"/>
          <w:sz w:val="32"/>
          <w:szCs w:val="32"/>
        </w:rPr>
        <w:t>引言</w:t>
      </w:r>
    </w:p>
    <w:p w14:paraId="06ADB8AE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本说明书明确我校全维度智能化建设全部业务功能需求与安全规范。项目坚持技术中立、业务导向、数据赋能育人的核心原则，不限定底层技术、算法模型、软硬件品牌；承建方须围绕核心业务模块完成整体方案设计、开发、对接、部署、调试与交付，系统需具备高安全、高扩展、易运维、校本适配的特性，实现全域数据统一汇聚、智能分析、分层应用、可视化展示。</w:t>
      </w:r>
    </w:p>
    <w:p w14:paraId="6F3B582C">
      <w:pPr>
        <w:pStyle w:val="15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outlineLvl w:val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 w:cs="仿宋"/>
          <w:b w:val="0"/>
          <w:bCs w:val="0"/>
          <w:sz w:val="32"/>
          <w:szCs w:val="32"/>
        </w:rPr>
        <w:t>模块一：校园数据中台建设</w:t>
      </w:r>
    </w:p>
    <w:p w14:paraId="7A835C29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搭建校园数据中台，完成校内孤岛数据全域汇聚、标准化治理及统一账号认证，破除各业务系统、智能设备数据不通、账号分散的难题，构建一体化校园数据底座，支撑智慧教学、校园安防、行政办公等全域智慧应用落地。</w:t>
      </w:r>
    </w:p>
    <w:p w14:paraId="7921F517">
      <w:pPr>
        <w:pStyle w:val="14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楷体_GB2312" w:cs="仿宋"/>
          <w:b w:val="0"/>
          <w:bCs w:val="0"/>
          <w:sz w:val="32"/>
          <w:szCs w:val="32"/>
        </w:rPr>
        <w:t>功能清单</w:t>
      </w:r>
    </w:p>
    <w:tbl>
      <w:tblPr>
        <w:tblStyle w:val="3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4"/>
        <w:gridCol w:w="2214"/>
        <w:gridCol w:w="2214"/>
        <w:gridCol w:w="2214"/>
      </w:tblGrid>
      <w:tr w14:paraId="66B3A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0" w:type="pct"/>
          </w:tcPr>
          <w:p w14:paraId="5E6353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序号</w:t>
            </w:r>
          </w:p>
        </w:tc>
        <w:tc>
          <w:tcPr>
            <w:tcW w:w="1250" w:type="pct"/>
          </w:tcPr>
          <w:p w14:paraId="70ED88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功能模块</w:t>
            </w:r>
          </w:p>
        </w:tc>
        <w:tc>
          <w:tcPr>
            <w:tcW w:w="1250" w:type="pct"/>
          </w:tcPr>
          <w:p w14:paraId="7B151A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功能描述</w:t>
            </w:r>
          </w:p>
        </w:tc>
        <w:tc>
          <w:tcPr>
            <w:tcW w:w="1250" w:type="pct"/>
          </w:tcPr>
          <w:p w14:paraId="033609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优先级</w:t>
            </w:r>
          </w:p>
        </w:tc>
      </w:tr>
      <w:tr w14:paraId="361B9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0" w:type="pct"/>
          </w:tcPr>
          <w:p w14:paraId="55753E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1</w:t>
            </w:r>
          </w:p>
        </w:tc>
        <w:tc>
          <w:tcPr>
            <w:tcW w:w="1250" w:type="pct"/>
          </w:tcPr>
          <w:p w14:paraId="7C7959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数据资产盘点</w:t>
            </w:r>
          </w:p>
        </w:tc>
        <w:tc>
          <w:tcPr>
            <w:tcW w:w="1250" w:type="pct"/>
          </w:tcPr>
          <w:p w14:paraId="5C236A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全面梳理校内所有业务系统及硬件设备的数据资源，建立数据资产台账</w:t>
            </w:r>
          </w:p>
        </w:tc>
        <w:tc>
          <w:tcPr>
            <w:tcW w:w="1250" w:type="pct"/>
          </w:tcPr>
          <w:p w14:paraId="6AB4F3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必须</w:t>
            </w:r>
          </w:p>
        </w:tc>
      </w:tr>
      <w:tr w14:paraId="3C29B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0" w:type="pct"/>
          </w:tcPr>
          <w:p w14:paraId="43F3FD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2</w:t>
            </w:r>
          </w:p>
        </w:tc>
        <w:tc>
          <w:tcPr>
            <w:tcW w:w="1250" w:type="pct"/>
          </w:tcPr>
          <w:p w14:paraId="1C6C6D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多源数据接入</w:t>
            </w:r>
          </w:p>
        </w:tc>
        <w:tc>
          <w:tcPr>
            <w:tcW w:w="1250" w:type="pct"/>
          </w:tcPr>
          <w:p w14:paraId="6B121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完成校内全部业务系统和智能设备的数据统一接入</w:t>
            </w:r>
          </w:p>
        </w:tc>
        <w:tc>
          <w:tcPr>
            <w:tcW w:w="1250" w:type="pct"/>
          </w:tcPr>
          <w:p w14:paraId="2264FC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必须</w:t>
            </w:r>
          </w:p>
        </w:tc>
      </w:tr>
      <w:tr w14:paraId="5A6DF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0" w:type="pct"/>
          </w:tcPr>
          <w:p w14:paraId="7DD51F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3</w:t>
            </w:r>
          </w:p>
        </w:tc>
        <w:tc>
          <w:tcPr>
            <w:tcW w:w="1250" w:type="pct"/>
          </w:tcPr>
          <w:p w14:paraId="084B26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数据清洗与治理</w:t>
            </w:r>
          </w:p>
        </w:tc>
        <w:tc>
          <w:tcPr>
            <w:tcW w:w="1250" w:type="pct"/>
          </w:tcPr>
          <w:p w14:paraId="647598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数据清洗、标准化、去重、错误修正，提升数据质量</w:t>
            </w:r>
          </w:p>
        </w:tc>
        <w:tc>
          <w:tcPr>
            <w:tcW w:w="1250" w:type="pct"/>
          </w:tcPr>
          <w:p w14:paraId="245DBB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必须</w:t>
            </w:r>
          </w:p>
        </w:tc>
      </w:tr>
      <w:tr w14:paraId="00FBA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0" w:type="pct"/>
          </w:tcPr>
          <w:p w14:paraId="297A6A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4</w:t>
            </w:r>
          </w:p>
        </w:tc>
        <w:tc>
          <w:tcPr>
            <w:tcW w:w="1250" w:type="pct"/>
          </w:tcPr>
          <w:p w14:paraId="5D8FDC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统一身份认证</w:t>
            </w:r>
          </w:p>
        </w:tc>
        <w:tc>
          <w:tcPr>
            <w:tcW w:w="1250" w:type="pct"/>
          </w:tcPr>
          <w:p w14:paraId="68BA8D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搭建统一身份认证体系，实现单点登录</w:t>
            </w:r>
          </w:p>
        </w:tc>
        <w:tc>
          <w:tcPr>
            <w:tcW w:w="1250" w:type="pct"/>
          </w:tcPr>
          <w:p w14:paraId="2A51C3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必须</w:t>
            </w:r>
          </w:p>
        </w:tc>
      </w:tr>
      <w:tr w14:paraId="3DA7C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0" w:type="pct"/>
          </w:tcPr>
          <w:p w14:paraId="5E309B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5</w:t>
            </w:r>
          </w:p>
        </w:tc>
        <w:tc>
          <w:tcPr>
            <w:tcW w:w="1250" w:type="pct"/>
          </w:tcPr>
          <w:p w14:paraId="3E7A2C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数据安全管理</w:t>
            </w:r>
          </w:p>
        </w:tc>
        <w:tc>
          <w:tcPr>
            <w:tcW w:w="1250" w:type="pct"/>
          </w:tcPr>
          <w:p w14:paraId="4B55F4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数据加密、脱敏、权限控制、审计日志</w:t>
            </w:r>
          </w:p>
        </w:tc>
        <w:tc>
          <w:tcPr>
            <w:tcW w:w="1250" w:type="pct"/>
          </w:tcPr>
          <w:p w14:paraId="2F9793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必须</w:t>
            </w:r>
          </w:p>
        </w:tc>
      </w:tr>
    </w:tbl>
    <w:p w14:paraId="7A814B7C">
      <w:pPr>
        <w:pStyle w:val="4"/>
        <w:keepNext w:val="0"/>
        <w:keepLines w:val="0"/>
        <w:pageBreakBefore w:val="0"/>
        <w:numPr>
          <w:ilvl w:val="0"/>
          <w:numId w:val="1"/>
        </w:numPr>
        <w:tabs>
          <w:tab w:val="left" w:pos="7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楷体_GB2312" w:cs="仿宋"/>
          <w:b w:val="0"/>
          <w:bCs w:val="0"/>
          <w:sz w:val="32"/>
          <w:szCs w:val="32"/>
        </w:rPr>
        <w:t>全域存量数据资产盘点与全量接入</w:t>
      </w:r>
    </w:p>
    <w:p w14:paraId="2B7F926E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全面摸清校内所有业务系统及硬件设备的数据资源，建立完整校园数据资产台账，完成全品类存量数据统一接入。</w:t>
      </w:r>
    </w:p>
    <w:p w14:paraId="0EC91362">
      <w:pPr>
        <w:pStyle w:val="19"/>
        <w:keepNext w:val="0"/>
        <w:keepLines w:val="0"/>
        <w:pageBreakBefore w:val="0"/>
        <w:widowControl/>
        <w:tabs>
          <w:tab w:val="left" w:pos="73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_GB2312" w:cs="仿宋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学校现有业务系统如下：</w:t>
      </w:r>
      <w:r>
        <w:rPr>
          <w:rFonts w:hint="eastAsia" w:eastAsia="仿宋_GB2312" w:cs="仿宋"/>
          <w:b w:val="0"/>
          <w:bCs w:val="0"/>
          <w:color w:val="auto"/>
          <w:sz w:val="32"/>
          <w:szCs w:val="32"/>
          <w:lang w:eastAsia="zh-CN"/>
        </w:rPr>
        <w:tab/>
      </w:r>
    </w:p>
    <w:p w14:paraId="57CEC4BD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学生基础类：小学体检数据（国家体质监测系统）、领康体质测试系统、易成功AI体育；</w:t>
      </w:r>
    </w:p>
    <w:p w14:paraId="61623A5D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教学业务类：图创图书馆借阅系统、书香博士整本书阅读测评系统；</w:t>
      </w:r>
    </w:p>
    <w:p w14:paraId="27C20269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行政办公类：通达OA系统、群晖NAS、微信公众号；</w:t>
      </w:r>
    </w:p>
    <w:p w14:paraId="0B613562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其他设备：希沃教室触屏、希沃集中控制平台、奥威亚录播系统、海康威视监控、海康威视门禁系统、户外Led大屏3块。</w:t>
      </w:r>
    </w:p>
    <w:p w14:paraId="00A0EA51"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楷体_GB2312" w:cs="仿宋"/>
          <w:b w:val="0"/>
          <w:bCs w:val="0"/>
          <w:color w:val="auto"/>
          <w:sz w:val="32"/>
          <w:szCs w:val="32"/>
        </w:rPr>
        <w:t>系统对接要求</w:t>
      </w:r>
    </w:p>
    <w:p w14:paraId="408BD087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各系统对接工作由中标方负责实施，校方负责协调各系统原厂配合。具体要求如下：</w:t>
      </w:r>
    </w:p>
    <w:tbl>
      <w:tblPr>
        <w:tblStyle w:val="33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1771"/>
        <w:gridCol w:w="1771"/>
        <w:gridCol w:w="1771"/>
        <w:gridCol w:w="1771"/>
      </w:tblGrid>
      <w:tr w14:paraId="09DC4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0" w:type="pct"/>
          </w:tcPr>
          <w:p w14:paraId="4C1CA2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序号</w:t>
            </w:r>
          </w:p>
        </w:tc>
        <w:tc>
          <w:tcPr>
            <w:tcW w:w="1000" w:type="pct"/>
          </w:tcPr>
          <w:p w14:paraId="073F0B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学校现有业务</w:t>
            </w: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系统名称</w:t>
            </w:r>
          </w:p>
        </w:tc>
        <w:tc>
          <w:tcPr>
            <w:tcW w:w="1000" w:type="pct"/>
          </w:tcPr>
          <w:p w14:paraId="308DA4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厂商</w:t>
            </w:r>
          </w:p>
        </w:tc>
        <w:tc>
          <w:tcPr>
            <w:tcW w:w="1000" w:type="pct"/>
          </w:tcPr>
          <w:p w14:paraId="16A37D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对接内容</w:t>
            </w:r>
          </w:p>
        </w:tc>
        <w:tc>
          <w:tcPr>
            <w:tcW w:w="1000" w:type="pct"/>
          </w:tcPr>
          <w:p w14:paraId="66E7AC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责任说明</w:t>
            </w:r>
          </w:p>
        </w:tc>
      </w:tr>
      <w:tr w14:paraId="7622A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0" w:type="pct"/>
          </w:tcPr>
          <w:p w14:paraId="2E95A5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1</w:t>
            </w:r>
          </w:p>
        </w:tc>
        <w:tc>
          <w:tcPr>
            <w:tcW w:w="1000" w:type="pct"/>
          </w:tcPr>
          <w:p w14:paraId="0EE4AD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通达OA系统</w:t>
            </w:r>
          </w:p>
        </w:tc>
        <w:tc>
          <w:tcPr>
            <w:tcW w:w="1000" w:type="pct"/>
          </w:tcPr>
          <w:p w14:paraId="06F839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通达</w:t>
            </w:r>
          </w:p>
        </w:tc>
        <w:tc>
          <w:tcPr>
            <w:tcW w:w="1000" w:type="pct"/>
          </w:tcPr>
          <w:p w14:paraId="597E3A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组织架构、用户数据、通知公告、会议纪要</w:t>
            </w:r>
          </w:p>
        </w:tc>
        <w:tc>
          <w:tcPr>
            <w:tcW w:w="1000" w:type="pct"/>
          </w:tcPr>
          <w:p w14:paraId="5D9BCC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中标方负责对接开发，校方协调原厂配合</w:t>
            </w:r>
          </w:p>
        </w:tc>
      </w:tr>
      <w:tr w14:paraId="643DB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0" w:type="pct"/>
          </w:tcPr>
          <w:p w14:paraId="405F04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2</w:t>
            </w:r>
          </w:p>
        </w:tc>
        <w:tc>
          <w:tcPr>
            <w:tcW w:w="1000" w:type="pct"/>
          </w:tcPr>
          <w:p w14:paraId="78F0C0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群晖NAS</w:t>
            </w:r>
          </w:p>
        </w:tc>
        <w:tc>
          <w:tcPr>
            <w:tcW w:w="1000" w:type="pct"/>
          </w:tcPr>
          <w:p w14:paraId="349A76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群晖</w:t>
            </w:r>
          </w:p>
        </w:tc>
        <w:tc>
          <w:tcPr>
            <w:tcW w:w="1000" w:type="pct"/>
          </w:tcPr>
          <w:p w14:paraId="5B3EC3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文件目录、文档数据</w:t>
            </w:r>
          </w:p>
        </w:tc>
        <w:tc>
          <w:tcPr>
            <w:tcW w:w="1000" w:type="pct"/>
          </w:tcPr>
          <w:p w14:paraId="6A2EA4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中标方负责对接开发</w:t>
            </w:r>
          </w:p>
        </w:tc>
      </w:tr>
      <w:tr w14:paraId="248D4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0" w:type="pct"/>
          </w:tcPr>
          <w:p w14:paraId="1CABAE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3</w:t>
            </w:r>
          </w:p>
        </w:tc>
        <w:tc>
          <w:tcPr>
            <w:tcW w:w="1000" w:type="pct"/>
          </w:tcPr>
          <w:p w14:paraId="500080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图创图书馆系统</w:t>
            </w:r>
          </w:p>
        </w:tc>
        <w:tc>
          <w:tcPr>
            <w:tcW w:w="1000" w:type="pct"/>
          </w:tcPr>
          <w:p w14:paraId="03433C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图创</w:t>
            </w:r>
          </w:p>
        </w:tc>
        <w:tc>
          <w:tcPr>
            <w:tcW w:w="1000" w:type="pct"/>
          </w:tcPr>
          <w:p w14:paraId="4A50B4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图书借阅数据、读者信息</w:t>
            </w:r>
          </w:p>
        </w:tc>
        <w:tc>
          <w:tcPr>
            <w:tcW w:w="1000" w:type="pct"/>
          </w:tcPr>
          <w:p w14:paraId="5A97BF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中标方负责对接开发，校方协调原厂配合</w:t>
            </w:r>
          </w:p>
        </w:tc>
      </w:tr>
      <w:tr w14:paraId="3546A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0" w:type="pct"/>
          </w:tcPr>
          <w:p w14:paraId="566EDA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4</w:t>
            </w:r>
          </w:p>
        </w:tc>
        <w:tc>
          <w:tcPr>
            <w:tcW w:w="1000" w:type="pct"/>
          </w:tcPr>
          <w:p w14:paraId="1D8F29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书香博士阅读系统</w:t>
            </w:r>
          </w:p>
        </w:tc>
        <w:tc>
          <w:tcPr>
            <w:tcW w:w="1000" w:type="pct"/>
          </w:tcPr>
          <w:p w14:paraId="07DCEC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书香博士</w:t>
            </w:r>
          </w:p>
        </w:tc>
        <w:tc>
          <w:tcPr>
            <w:tcW w:w="1000" w:type="pct"/>
          </w:tcPr>
          <w:p w14:paraId="732C0D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阅读测评数据、阅读记录</w:t>
            </w:r>
          </w:p>
        </w:tc>
        <w:tc>
          <w:tcPr>
            <w:tcW w:w="1000" w:type="pct"/>
          </w:tcPr>
          <w:p w14:paraId="066B7F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中标方负责对接开发，校方协调原厂配合</w:t>
            </w:r>
          </w:p>
        </w:tc>
      </w:tr>
      <w:tr w14:paraId="301AE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0" w:type="pct"/>
          </w:tcPr>
          <w:p w14:paraId="4CD7C8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5</w:t>
            </w:r>
          </w:p>
        </w:tc>
        <w:tc>
          <w:tcPr>
            <w:tcW w:w="1000" w:type="pct"/>
          </w:tcPr>
          <w:p w14:paraId="5A8944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领康体质测试系统</w:t>
            </w:r>
          </w:p>
        </w:tc>
        <w:tc>
          <w:tcPr>
            <w:tcW w:w="1000" w:type="pct"/>
          </w:tcPr>
          <w:p w14:paraId="0988D6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领康</w:t>
            </w:r>
          </w:p>
        </w:tc>
        <w:tc>
          <w:tcPr>
            <w:tcW w:w="1000" w:type="pct"/>
          </w:tcPr>
          <w:p w14:paraId="326D8E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体质测试数据、学生信息</w:t>
            </w:r>
          </w:p>
        </w:tc>
        <w:tc>
          <w:tcPr>
            <w:tcW w:w="1000" w:type="pct"/>
          </w:tcPr>
          <w:p w14:paraId="36D9F3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中标方负责对接开发，校方协调原厂配合</w:t>
            </w:r>
          </w:p>
        </w:tc>
      </w:tr>
      <w:tr w14:paraId="2E49F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0" w:type="pct"/>
          </w:tcPr>
          <w:p w14:paraId="18292E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6</w:t>
            </w:r>
          </w:p>
        </w:tc>
        <w:tc>
          <w:tcPr>
            <w:tcW w:w="1000" w:type="pct"/>
          </w:tcPr>
          <w:p w14:paraId="572E2B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易成功AI体育</w:t>
            </w:r>
          </w:p>
        </w:tc>
        <w:tc>
          <w:tcPr>
            <w:tcW w:w="1000" w:type="pct"/>
          </w:tcPr>
          <w:p w14:paraId="19085A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易成功</w:t>
            </w:r>
          </w:p>
        </w:tc>
        <w:tc>
          <w:tcPr>
            <w:tcW w:w="1000" w:type="pct"/>
          </w:tcPr>
          <w:p w14:paraId="3CC2C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体育测评数据</w:t>
            </w:r>
          </w:p>
        </w:tc>
        <w:tc>
          <w:tcPr>
            <w:tcW w:w="1000" w:type="pct"/>
          </w:tcPr>
          <w:p w14:paraId="2A71C9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中标方负责对接开发，校方协调原厂配合</w:t>
            </w:r>
          </w:p>
        </w:tc>
      </w:tr>
      <w:tr w14:paraId="7FBEF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0" w:type="pct"/>
          </w:tcPr>
          <w:p w14:paraId="53532E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7</w:t>
            </w:r>
          </w:p>
        </w:tc>
        <w:tc>
          <w:tcPr>
            <w:tcW w:w="1000" w:type="pct"/>
          </w:tcPr>
          <w:p w14:paraId="410DA8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希沃集中控制平台</w:t>
            </w:r>
          </w:p>
        </w:tc>
        <w:tc>
          <w:tcPr>
            <w:tcW w:w="1000" w:type="pct"/>
          </w:tcPr>
          <w:p w14:paraId="40EABA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希沃</w:t>
            </w:r>
          </w:p>
        </w:tc>
        <w:tc>
          <w:tcPr>
            <w:tcW w:w="1000" w:type="pct"/>
          </w:tcPr>
          <w:p w14:paraId="7A781A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设备状态、使用数据</w:t>
            </w:r>
          </w:p>
        </w:tc>
        <w:tc>
          <w:tcPr>
            <w:tcW w:w="1000" w:type="pct"/>
          </w:tcPr>
          <w:p w14:paraId="360FA3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中标方负责对接开发，校方协调原厂配合</w:t>
            </w:r>
          </w:p>
        </w:tc>
      </w:tr>
      <w:tr w14:paraId="1CCE9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0" w:type="pct"/>
          </w:tcPr>
          <w:p w14:paraId="77DF21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8</w:t>
            </w:r>
          </w:p>
        </w:tc>
        <w:tc>
          <w:tcPr>
            <w:tcW w:w="1000" w:type="pct"/>
          </w:tcPr>
          <w:p w14:paraId="3E0EB1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海康威视监控系统</w:t>
            </w:r>
          </w:p>
        </w:tc>
        <w:tc>
          <w:tcPr>
            <w:tcW w:w="1000" w:type="pct"/>
          </w:tcPr>
          <w:p w14:paraId="23120E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海康威视</w:t>
            </w:r>
          </w:p>
        </w:tc>
        <w:tc>
          <w:tcPr>
            <w:tcW w:w="1000" w:type="pct"/>
          </w:tcPr>
          <w:p w14:paraId="5E73D7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监控设备状态、录像信息</w:t>
            </w:r>
          </w:p>
        </w:tc>
        <w:tc>
          <w:tcPr>
            <w:tcW w:w="1000" w:type="pct"/>
          </w:tcPr>
          <w:p w14:paraId="3EFCB7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中标方负责对接开发，校方协调原厂配合</w:t>
            </w:r>
          </w:p>
        </w:tc>
      </w:tr>
      <w:tr w14:paraId="338C4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0" w:type="pct"/>
          </w:tcPr>
          <w:p w14:paraId="7E862F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9</w:t>
            </w:r>
          </w:p>
        </w:tc>
        <w:tc>
          <w:tcPr>
            <w:tcW w:w="1000" w:type="pct"/>
          </w:tcPr>
          <w:p w14:paraId="74ADC7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海康威视门禁系统</w:t>
            </w:r>
          </w:p>
        </w:tc>
        <w:tc>
          <w:tcPr>
            <w:tcW w:w="1000" w:type="pct"/>
          </w:tcPr>
          <w:p w14:paraId="36E2A3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海康威视</w:t>
            </w:r>
          </w:p>
        </w:tc>
        <w:tc>
          <w:tcPr>
            <w:tcW w:w="1000" w:type="pct"/>
          </w:tcPr>
          <w:p w14:paraId="0AEFE6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门禁记录、人员信息</w:t>
            </w:r>
          </w:p>
        </w:tc>
        <w:tc>
          <w:tcPr>
            <w:tcW w:w="1000" w:type="pct"/>
          </w:tcPr>
          <w:p w14:paraId="707F75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中标方负责对接开发，校方协调原厂配合</w:t>
            </w:r>
          </w:p>
        </w:tc>
      </w:tr>
      <w:tr w14:paraId="43E5E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0" w:type="pct"/>
          </w:tcPr>
          <w:p w14:paraId="600810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10</w:t>
            </w:r>
          </w:p>
        </w:tc>
        <w:tc>
          <w:tcPr>
            <w:tcW w:w="1000" w:type="pct"/>
          </w:tcPr>
          <w:p w14:paraId="3B857E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奥威亚录播系统</w:t>
            </w:r>
          </w:p>
        </w:tc>
        <w:tc>
          <w:tcPr>
            <w:tcW w:w="1000" w:type="pct"/>
          </w:tcPr>
          <w:p w14:paraId="26AD47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奥威亚</w:t>
            </w:r>
          </w:p>
        </w:tc>
        <w:tc>
          <w:tcPr>
            <w:tcW w:w="1000" w:type="pct"/>
          </w:tcPr>
          <w:p w14:paraId="4AD92E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录播课程数据</w:t>
            </w:r>
          </w:p>
        </w:tc>
        <w:tc>
          <w:tcPr>
            <w:tcW w:w="1000" w:type="pct"/>
          </w:tcPr>
          <w:p w14:paraId="394792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32"/>
                <w:szCs w:val="32"/>
              </w:rPr>
              <w:t>中标方负责对接开发，校方协调原厂配合</w:t>
            </w:r>
          </w:p>
        </w:tc>
      </w:tr>
    </w:tbl>
    <w:p w14:paraId="433BA6D2">
      <w:pPr>
        <w:pStyle w:val="19"/>
        <w:keepNext w:val="0"/>
        <w:keepLines w:val="0"/>
        <w:pageBreakBefore w:val="0"/>
        <w:widowControl/>
        <w:tabs>
          <w:tab w:val="left" w:pos="4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说明：</w:t>
      </w:r>
    </w:p>
    <w:p w14:paraId="2CB294EA">
      <w:pPr>
        <w:pStyle w:val="19"/>
        <w:keepNext w:val="0"/>
        <w:keepLines w:val="0"/>
        <w:pageBreakBefore w:val="0"/>
        <w:widowControl/>
        <w:tabs>
          <w:tab w:val="left" w:pos="4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（1）如涉及系统原厂接口授权费用，由中标方承担，计入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eastAsia="zh-CN"/>
        </w:rPr>
        <w:t>应征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总价；</w:t>
      </w:r>
    </w:p>
    <w:p w14:paraId="2877D183">
      <w:pPr>
        <w:pStyle w:val="19"/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4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sz w:val="32"/>
          <w:szCs w:val="32"/>
        </w:rPr>
        <w:t>中标方须在</w:t>
      </w:r>
      <w:r>
        <w:rPr>
          <w:rFonts w:hint="eastAsia" w:ascii="Times New Roman" w:hAnsi="Times New Roman" w:eastAsia="仿宋_GB2312" w:cs="仿宋"/>
          <w:b w:val="0"/>
          <w:bCs w:val="0"/>
          <w:sz w:val="32"/>
          <w:szCs w:val="32"/>
          <w:lang w:val="en-US" w:eastAsia="zh-CN"/>
        </w:rPr>
        <w:t>方案提交前完成</w:t>
      </w:r>
      <w:r>
        <w:rPr>
          <w:rFonts w:hint="eastAsia" w:ascii="Times New Roman" w:hAnsi="Times New Roman" w:eastAsia="仿宋_GB2312" w:cs="仿宋"/>
          <w:b w:val="0"/>
          <w:bCs w:val="0"/>
          <w:sz w:val="32"/>
          <w:szCs w:val="32"/>
        </w:rPr>
        <w:t>所有系统的对接调研，出具详细的对接</w:t>
      </w:r>
      <w:r>
        <w:rPr>
          <w:rFonts w:hint="eastAsia" w:ascii="Times New Roman" w:hAnsi="Times New Roman" w:eastAsia="仿宋_GB2312" w:cs="仿宋"/>
          <w:b w:val="0"/>
          <w:bCs w:val="0"/>
          <w:sz w:val="32"/>
          <w:szCs w:val="32"/>
          <w:lang w:val="en-US" w:eastAsia="zh-CN"/>
        </w:rPr>
        <w:t>可行性</w:t>
      </w:r>
      <w:r>
        <w:rPr>
          <w:rFonts w:hint="eastAsia" w:ascii="Times New Roman" w:hAnsi="Times New Roman" w:eastAsia="仿宋_GB2312" w:cs="仿宋"/>
          <w:b w:val="0"/>
          <w:bCs w:val="0"/>
          <w:sz w:val="32"/>
          <w:szCs w:val="32"/>
        </w:rPr>
        <w:t>方案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如遇系统不支持标准接口对接，须提出替代方案（如数据库直连、数据导入导出等），确保数据接入完成；</w:t>
      </w:r>
      <w:r>
        <w:rPr>
          <w:rFonts w:hint="eastAsia" w:ascii="Times New Roman" w:hAnsi="Times New Roman" w:eastAsia="仿宋_GB2312" w:cs="仿宋"/>
          <w:b w:val="0"/>
          <w:bCs w:val="0"/>
          <w:sz w:val="32"/>
          <w:szCs w:val="32"/>
        </w:rPr>
        <w:t>无论原厂是否配合、是否收取接口费用，中标方都须完成数据接入工作</w:t>
      </w:r>
    </w:p>
    <w:p w14:paraId="75B786CB">
      <w:pPr>
        <w:pStyle w:val="4"/>
        <w:keepNext w:val="0"/>
        <w:keepLines w:val="0"/>
        <w:pageBreakBefore w:val="0"/>
        <w:numPr>
          <w:ilvl w:val="0"/>
          <w:numId w:val="1"/>
        </w:numPr>
        <w:tabs>
          <w:tab w:val="left" w:pos="7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楷体_GB2312" w:cs="仿宋"/>
          <w:b w:val="0"/>
          <w:bCs w:val="0"/>
          <w:sz w:val="32"/>
          <w:szCs w:val="32"/>
        </w:rPr>
        <w:t>多源异构数据清洗与标准化治理</w:t>
      </w:r>
    </w:p>
    <w:p w14:paraId="50EC3DBF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针对校内杂乱异构数据开展专项治理，自动识别并清理缺失、重复、逻辑错误、格式异常等无效数据。统一全校数据规范，对齐字段名称、编码、时间格式、计量单位，完成全量数据结构化整改，将各类型数据按预设格式整理，提升数据质量。串联各系统分散的师生数据，清洗完成后无损汇入中台的统一数据底座，实现一数一源、一处更新、全域同步。</w:t>
      </w:r>
    </w:p>
    <w:p w14:paraId="1E9DDBC0">
      <w:pPr>
        <w:pStyle w:val="4"/>
        <w:keepNext w:val="0"/>
        <w:keepLines w:val="0"/>
        <w:pageBreakBefore w:val="0"/>
        <w:numPr>
          <w:ilvl w:val="0"/>
          <w:numId w:val="1"/>
        </w:numPr>
        <w:tabs>
          <w:tab w:val="left" w:pos="7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楷体_GB2312" w:cs="仿宋"/>
          <w:b w:val="0"/>
          <w:bCs w:val="0"/>
          <w:sz w:val="32"/>
          <w:szCs w:val="32"/>
        </w:rPr>
        <w:t>全域平台统一单点登录改造</w:t>
      </w:r>
    </w:p>
    <w:p w14:paraId="73FA99EF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打通OA、群晖NAS、校园门禁、图书馆、希沃集中控制平台等校内全部系统的独立登录端口，搭建统一身份认证体系。支持微信扫码、手机号验证码、账号密码等多种登录方式，实现师生一次认证、全平台免密通行。</w:t>
      </w:r>
    </w:p>
    <w:p w14:paraId="045CEE95">
      <w:pPr>
        <w:pStyle w:val="4"/>
        <w:keepNext w:val="0"/>
        <w:keepLines w:val="0"/>
        <w:pageBreakBefore w:val="0"/>
        <w:numPr>
          <w:ilvl w:val="0"/>
          <w:numId w:val="1"/>
        </w:numPr>
        <w:tabs>
          <w:tab w:val="left" w:pos="7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楷体_GB2312" w:cs="仿宋"/>
          <w:b w:val="0"/>
          <w:bCs w:val="0"/>
          <w:sz w:val="32"/>
          <w:szCs w:val="32"/>
        </w:rPr>
        <w:t>系统安全合规与等级保护建设</w:t>
      </w:r>
    </w:p>
    <w:p w14:paraId="39517B48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本系统承载未成年人隐私信息、教职工绩效档案、师生心理健康数据、体检健康数据等海量高敏感教育数据，数据安全与网络合规为项目建设刚性底线。本项目须严格遵循《网络安全法》《数据安全法》《个人信息保护法》及教育行业网络安全等级保护2.0相关监管要求，全面落实校园数字化系统软硬件安全防护、全方位等保建设与常态化合规管控工作。</w:t>
      </w:r>
    </w:p>
    <w:p w14:paraId="29C41475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本项目所有等级保护定级备案、安全整改、合规测评、报告出具等全流程等保合规工作，由应征单位全权委托纳入国家等级保护测评机构推荐目录、具备合法有效等保测评资质的第三方权威认证机构统一实施。应征单位须统筹负责整体对接、全程管控、整改落地与合规闭环，全权承担本项目等保合规全部工作事项，全权负责等保建设、整改优化、资料报备、测评对接等所有相关工作，确保所有安全建设、测评整改、资料备案、成果输出全部合规有效，</w:t>
      </w:r>
      <w:bookmarkStart w:id="0" w:name="_GoBack"/>
      <w:bookmarkEnd w:id="0"/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杜绝合规风险、测评不通过等问题。</w:t>
      </w:r>
    </w:p>
    <w:p w14:paraId="2B5BA4A9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本说明书所涉及的全部软件系统，凡涉及师生隐私、业务涉密等敏感信息的，均须实施本地化私有化部署，严禁公有云外网部署、异地部署。系统服务器暂定托管于中国电信三元区公司下洋数据中心、三明市教育局城域网机房，全程依托三明教育城域网专用宽带线路运行，实现数据本地存储、本地传输、本地管控，杜绝敏感数据外流、跨域传输风险。</w:t>
      </w:r>
    </w:p>
    <w:p w14:paraId="5034D81D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b w:val="0"/>
          <w:bCs w:val="0"/>
          <w:kern w:val="44"/>
          <w:sz w:val="32"/>
          <w:szCs w:val="32"/>
        </w:rPr>
      </w:pPr>
      <w:r>
        <w:rPr>
          <w:rFonts w:hint="eastAsia" w:ascii="Times New Roman" w:hAnsi="Times New Roman" w:eastAsia="黑体" w:cs="仿宋"/>
          <w:b w:val="0"/>
          <w:bCs w:val="0"/>
          <w:kern w:val="44"/>
          <w:sz w:val="32"/>
          <w:szCs w:val="32"/>
        </w:rPr>
        <w:t>模块二：AI+教育管理应用</w:t>
      </w:r>
    </w:p>
    <w:p w14:paraId="060B391C">
      <w:pPr>
        <w:pStyle w:val="4"/>
        <w:keepNext w:val="0"/>
        <w:keepLines w:val="0"/>
        <w:pageBreakBefore w:val="0"/>
        <w:numPr>
          <w:ilvl w:val="0"/>
          <w:numId w:val="3"/>
        </w:numPr>
        <w:tabs>
          <w:tab w:val="left" w:pos="7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楷体_GB2312" w:cs="仿宋"/>
          <w:b w:val="0"/>
          <w:bCs w:val="0"/>
          <w:sz w:val="32"/>
          <w:szCs w:val="32"/>
        </w:rPr>
        <w:t>AI+五育全维成长画像系统</w:t>
      </w:r>
    </w:p>
    <w:p w14:paraId="5FC98813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以学生成长发展为核心，打通校园各类业务数据源，依托科学评价模型，实现学生成长增值研判、学情精准辅导、个性化成长反馈，落实五育并举育人要求，具体功能如下：</w:t>
      </w:r>
    </w:p>
    <w:p w14:paraId="1CAD96A1">
      <w:pPr>
        <w:pStyle w:val="5"/>
        <w:keepNext w:val="0"/>
        <w:keepLines w:val="0"/>
        <w:pageBreakBefore w:val="0"/>
        <w:numPr>
          <w:ilvl w:val="0"/>
          <w:numId w:val="4"/>
        </w:numPr>
        <w:tabs>
          <w:tab w:val="left" w:pos="10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sz w:val="32"/>
          <w:szCs w:val="32"/>
        </w:rPr>
        <w:t>构建五育动态全维成长画像</w:t>
      </w:r>
    </w:p>
    <w:p w14:paraId="0F61A633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系统以学生唯一身份 ID 为数据主线，全面整合体质体检、AI 体育测评、课堂学情、德育表现、劳动实践、美育活动、心理健康、学科学业八大维度全量数据，实现学生成长数据全域归集互通。系统内置德育、智育、体育、美育、劳育五维量化评分模型，自动归算各维度综合得分，依托可视化技术自动生成五育综合雷达图、阶段性成长趋势曲线、个人特长热力图、日常行为词云，直观立体化呈现学生综合素养全貌。</w:t>
      </w:r>
    </w:p>
    <w:p w14:paraId="63314F91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体质健康智能测评：系统内置身高、体重、肺活量、50 米跑、坐位体前屈、一分钟跳绳、一分钟仰卧起坐等体质项目自动评分算法，自动评定单项得分与综合得分；体检数据（身高体重、BMI、视力、血压、营养评价）一键录入归档，历年体质与体检数据可追溯、可对比。</w:t>
      </w:r>
    </w:p>
    <w:p w14:paraId="54131AA8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学业成绩智能分析：支持考试成绩批量导入，自动按科目、考试、学年归档；系统内置百分位、分数阈值两种可配置评分公式，一键批量评定 A/B/C/D 学业等级；自动生成成绩区间分布、学科均分、班级/年级对比、历年趋势等多维度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val="en-US" w:eastAsia="zh-CN"/>
        </w:rPr>
        <w:t>成绩质量分析，自动生成相关质量分析表（定制）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。</w:t>
      </w:r>
    </w:p>
    <w:p w14:paraId="4B8544FF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游戏化激励体系：系统内置班级积分规则自定义、课堂即时加分/扣分、积分记录全程留痕可撤销；配套光荣榜排行榜、金银铜领奖台展示、电子奖状生成、积分商城兑换与抽奖，以及多系列多阶段萌宠养成进化体系，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val="en-US" w:eastAsia="zh-CN"/>
        </w:rPr>
        <w:t>充分激发学生兴趣，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将学生良好表现即时转化为可视化成长激励，提升学生参与度与成就感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val="en-US" w:eastAsia="zh-CN"/>
        </w:rPr>
        <w:t>定制）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。</w:t>
      </w:r>
    </w:p>
    <w:p w14:paraId="4D662DCF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OCR 图文智能识别：基于多模态大模型自动抓取证书中的学生姓名、奖项名称、学科类别、奖项等级、奖项等次、颁发单位、获奖时间、所属学年等信息，自动区分德育、智育、体育、美育、劳育对应分类，无需手动逐条填写；识别后自动与在校学生名单三级匹配（精确匹配→包含匹配→字元交集匹配）归集到对应学生成长档案，匹配失败可人工确认绑定。</w:t>
      </w:r>
    </w:p>
    <w:p w14:paraId="2DCE9FBE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成果自动分级归类：系统内置校级、区级、市级、省级、国家级荣誉等级库，自动匹配奖项层级与等次，自动归入五育对应模块，自动核算综合素质分值；支持按学科自动映射五育维度，实现荣誉与五育画像自动联动。</w:t>
      </w:r>
    </w:p>
    <w:p w14:paraId="2D83C7A7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批量拍照一键导入：支持手机端批量拍摄多张纸质证书、奖状与获奖证明，批量识别、批量归档，自动按学期、学年归档到对应学生成长档案，一键更新五育画像数据。</w:t>
      </w:r>
    </w:p>
    <w:p w14:paraId="62D7E463">
      <w:pPr>
        <w:pStyle w:val="5"/>
        <w:keepNext w:val="0"/>
        <w:keepLines w:val="0"/>
        <w:pageBreakBefore w:val="0"/>
        <w:numPr>
          <w:ilvl w:val="0"/>
          <w:numId w:val="4"/>
        </w:numPr>
        <w:tabs>
          <w:tab w:val="left" w:pos="10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sz w:val="32"/>
          <w:szCs w:val="32"/>
        </w:rPr>
        <w:t>自动生成个性化综合素质评语</w:t>
      </w:r>
    </w:p>
    <w:p w14:paraId="2CC3DFB0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系统深度挖掘学生全周期在校行为数据，涵盖课堂表现、志愿服务、劳动实践、文体活动、日常奖惩、体质健康、学业成绩等真实在校场景，自动生成贴合学生真实情况、具象且人性化的评语：</w:t>
      </w:r>
    </w:p>
    <w:p w14:paraId="2CBB6CB2"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学生表现评语：基于积分记录、表扬类别、待改进项、活跃领域等自动生成个性化学期评语；</w:t>
      </w:r>
    </w:p>
    <w:p w14:paraId="270A9D0E"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家长沟通话术：按日常、表扬、提醒等场景自动生成家校沟通参考话术，助力家校协同育人；</w:t>
      </w:r>
    </w:p>
    <w:p w14:paraId="4AC1F6EA"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星光成长报告：自动输出五育逐条评价、综合等级、成长亮点、弱项提醒与教师寄语于一体的学年总结报告。</w:t>
      </w:r>
    </w:p>
    <w:p w14:paraId="76911660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val="en-US" w:eastAsia="zh-CN"/>
        </w:rPr>
        <w:t>系统预留标准化 API 接口</w:t>
      </w:r>
    </w:p>
    <w:p w14:paraId="325CA93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val="en-US" w:eastAsia="zh-CN"/>
        </w:rPr>
        <w:t>具备跨系统数据交互扩展能力，支撑后续与外部业务系统开展数据共享、双向信息互通；新增数据对接场景时，无需对系统核心业务逻辑进行大规模改造。</w:t>
      </w:r>
    </w:p>
    <w:p w14:paraId="209B921C">
      <w:pPr>
        <w:pStyle w:val="4"/>
        <w:keepNext w:val="0"/>
        <w:keepLines w:val="0"/>
        <w:pageBreakBefore w:val="0"/>
        <w:numPr>
          <w:ilvl w:val="0"/>
          <w:numId w:val="3"/>
        </w:numPr>
        <w:tabs>
          <w:tab w:val="left" w:pos="7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楷体_GB2312" w:cs="仿宋"/>
          <w:b w:val="0"/>
          <w:bCs w:val="0"/>
          <w:sz w:val="32"/>
          <w:szCs w:val="32"/>
        </w:rPr>
        <w:t>教师全维度数字画像与绩效智算一体化</w:t>
      </w:r>
    </w:p>
    <w:p w14:paraId="78281629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sz w:val="32"/>
          <w:szCs w:val="32"/>
        </w:rPr>
        <w:t>智能归集师资档案数据</w:t>
      </w:r>
    </w:p>
    <w:p w14:paraId="27D638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val="en-US" w:eastAsia="zh-CN"/>
        </w:rPr>
        <w:t>根据学校实际需求定制。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构建教师个人生涯数字档案，作为绩效核算核心数据源，支持教师线上申报、职能部门审核课题、论文、公开课、教学竞赛、学生指导荣誉等各类成果材料。档案覆盖基本信息、学历学位、工作履历、校内任职、职称聘任、工资职级、资格证书、年度考核、继续教育与培训、教学工作量、支教/交流/挂职、师徒结对、社团指导、考勤与纪律奖惩、师德师风专项等全维度信息，支持教师自助维护、职能部门审核的闭环管理，档案变更全程留痕、可追溯。</w:t>
      </w:r>
    </w:p>
    <w:p w14:paraId="2F885A7A">
      <w:pPr>
        <w:pStyle w:val="5"/>
        <w:keepNext w:val="0"/>
        <w:keepLines w:val="0"/>
        <w:pageBreakBefore w:val="0"/>
        <w:numPr>
          <w:ilvl w:val="0"/>
          <w:numId w:val="0"/>
        </w:numPr>
        <w:tabs>
          <w:tab w:val="left" w:pos="10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OCR 图文智能识别：自动抓取证书文字、奖项等级、立项时间、赛事类别、成果类型，自动区分公开课、论文、教学竞赛等类目，无需手动逐条填写。支持对拍摄畸变的证书图像进行智能透视矫正，支持 PDF 电子证书本地渲染识别。</w:t>
      </w:r>
    </w:p>
    <w:p w14:paraId="75A44C0D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sz w:val="32"/>
          <w:szCs w:val="32"/>
        </w:rPr>
        <w:t>校本考核规则全覆盖</w:t>
      </w:r>
    </w:p>
    <w:p w14:paraId="67FF78A4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以《三明学院附属小学年度绩效考核办法》为核心依据，全面覆盖师德师风、亮岗履职、教学管理、专业成长、现任职务、安全工作等核心考核维度，完整内嵌量化考核细则。系统按学校现行制度固化 13 个评分项：师德师风表现、亮岗履职表现、教学常规、出勤情况、教学成绩、校本教研与培训、课题、公开课/讲座、论文、指导老师获奖、指导学生获奖、现任职务、安全工作。平台支持后台动态配置考核指标分值、奖励金额标准（国家级/省级/市级/区级/校级逐级固定金额）、加减分规则与封顶规则，可跟随学校每年考核方案修订同步迭代，历年方案可追溯，保证系统考核标准与校方制度完全统一。</w:t>
      </w:r>
    </w:p>
    <w:p w14:paraId="6B073277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成果自动分级归类：系统内置校级、区级、市级、省级、国家级成果等级库，自动匹配项目层级，自动归入对应考核模块，精准匹配绩效评分标准。</w:t>
      </w:r>
    </w:p>
    <w:p w14:paraId="38A36CC6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批量拍照一键导入：支持手机端批量拍摄多张纸质证书、立项文件与获奖证明，实现批量识别、批量归档，自动按学期、学年分类存入教师生涯数字档案，一键更新考核台账。</w:t>
      </w:r>
    </w:p>
    <w:p w14:paraId="6D7B72FC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系统匹配对应加分规则，自动核算绩效加分并同步归档。荣誉数据自动关联年度考核：审核通过的成果自动计入对应考核评分项并生成计分明细（含得分与金额），支持跨学年荣誉追溯计入、多人指导荣誉按人数自动均分，避免重复计分与分配偏差。系统内置荣誉智能查重机制，自动识别同一教师跨年度重复申报、多人共享同一荣誉重复计分等情形，支持人工复核确认，从源头保障绩效数据真实、准确、可审计。针对绩效统计偏差，教师可线上提交异议条目与佐证材料，考核小组可在线开展集体复核研判，调整过程留痕、原因必填，全程可追溯。</w:t>
      </w:r>
    </w:p>
    <w:p w14:paraId="2A1020CB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sz w:val="32"/>
          <w:szCs w:val="32"/>
          <w:lang w:val="en-US" w:eastAsia="zh-CN"/>
        </w:rPr>
        <w:t>内置职称量化测算引擎</w:t>
      </w:r>
      <w:r>
        <w:rPr>
          <w:rFonts w:hint="eastAsia" w:ascii="Times New Roman" w:hAnsi="Times New Roman" w:eastAsia="仿宋_GB2312" w:cs="仿宋"/>
          <w:b w:val="0"/>
          <w:bCs w:val="0"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仿宋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val="en-US" w:eastAsia="zh-CN"/>
        </w:rPr>
        <w:t xml:space="preserve">  系统内置职称量化测算引擎，依据学校职称推荐量化考评办法自动测算教师申报高、中级职称的量化积分，支持全校排名与结果导出，为教师职称申报与学校师资配置提供数据支撑。</w:t>
      </w:r>
    </w:p>
    <w:p w14:paraId="28CDE070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支撑学校分层培养体系建设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val="en-US" w:eastAsia="zh-CN"/>
        </w:rPr>
        <w:t xml:space="preserve">    系统依据教师专业发展水平自动划分骨干教师方向群、名优教师方向群、卓越教师方向群、卓越领航教师群四级梯队，结合个人画像自动推荐发展任务，支撑学校分层培养体系建设。</w:t>
      </w:r>
    </w:p>
    <w:p w14:paraId="3DCD97FA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sz w:val="32"/>
          <w:szCs w:val="32"/>
        </w:rPr>
        <w:t>可视化成长分析</w:t>
      </w:r>
    </w:p>
    <w:p w14:paraId="79E7566D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依托全周期师资生涯数据，系统自动生成教师生涯数字画像，以师德表现、教学履职、教研能力、育人成果、专业发展五维能力雷达图直观呈现，纵向对比历年考核数据、横向对标同岗位教师均值，配套输出个人年度绩效分析报告与教师绩效排行榜，助力教师常态化精准成长与分层培养。</w:t>
      </w:r>
    </w:p>
    <w:p w14:paraId="7418AE20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"/>
          <w:b w:val="0"/>
          <w:bCs w:val="0"/>
          <w:sz w:val="32"/>
          <w:szCs w:val="32"/>
        </w:rPr>
        <w:t>支持自然语言智能问答</w:t>
      </w:r>
    </w:p>
    <w:p w14:paraId="5580579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教师可通过口语化提问直接查询个人年度绩效计分明细、教研荣誉、考核结果等数据，系统按角色权限分级返回，涉敏信息自动脱敏。</w:t>
      </w:r>
    </w:p>
    <w:p w14:paraId="433D888C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"/>
          <w:b w:val="0"/>
          <w:bCs w:val="0"/>
          <w:sz w:val="32"/>
          <w:szCs w:val="32"/>
          <w:lang w:val="en-US" w:eastAsia="zh-CN"/>
        </w:rPr>
        <w:t>系统预留标准化 A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val="en-US" w:eastAsia="zh-CN"/>
        </w:rPr>
        <w:t xml:space="preserve">PI </w:t>
      </w:r>
      <w:r>
        <w:rPr>
          <w:rFonts w:hint="eastAsia" w:ascii="Times New Roman" w:hAnsi="Times New Roman" w:eastAsia="仿宋_GB2312" w:cs="仿宋"/>
          <w:b w:val="0"/>
          <w:bCs w:val="0"/>
          <w:sz w:val="32"/>
          <w:szCs w:val="32"/>
          <w:lang w:val="en-US" w:eastAsia="zh-CN"/>
        </w:rPr>
        <w:t>接口</w:t>
      </w:r>
    </w:p>
    <w:p w14:paraId="757DE1F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val="en-US" w:eastAsia="zh-CN"/>
        </w:rPr>
        <w:t>具备跨系统数据交互扩展能力，支撑后续与外部业务系统开展数据共享、双向信息互通；新增数据对接场景时，无需对系统核心业务逻辑进行大规模改造。</w:t>
      </w:r>
    </w:p>
    <w:p w14:paraId="0CAD1C79">
      <w:pPr>
        <w:pStyle w:val="4"/>
        <w:keepNext w:val="0"/>
        <w:keepLines w:val="0"/>
        <w:pageBreakBefore w:val="0"/>
        <w:numPr>
          <w:ilvl w:val="0"/>
          <w:numId w:val="3"/>
        </w:numPr>
        <w:tabs>
          <w:tab w:val="left" w:pos="7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楷体_GB2312" w:cs="仿宋"/>
          <w:b w:val="0"/>
          <w:bCs w:val="0"/>
          <w:sz w:val="32"/>
          <w:szCs w:val="32"/>
        </w:rPr>
        <w:t>校长驾驶舱</w:t>
      </w:r>
    </w:p>
    <w:p w14:paraId="54B4871C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面向校领导及行政管理人员，搭建校级全域宏观数据驾驶舱，聚焦校园全域办学态势监测，实现风险</w:t>
      </w:r>
      <w:r>
        <w:rPr>
          <w:rFonts w:hint="eastAsia" w:eastAsia="仿宋_GB2312" w:cs="仿宋"/>
          <w:b w:val="0"/>
          <w:bCs w:val="0"/>
          <w:color w:val="auto"/>
          <w:sz w:val="32"/>
          <w:szCs w:val="32"/>
          <w:lang w:eastAsia="zh-CN"/>
        </w:rPr>
        <w:t>管理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前置预警、教学与人力资源科学化优化配置，为校园精细化治理提供直观、精准的数据决策支撑。</w:t>
      </w:r>
    </w:p>
    <w:p w14:paraId="129E3E34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校长驾驶舱须至少包含以下指标模块，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eastAsia="zh-CN"/>
        </w:rPr>
        <w:t>应征单位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可在此基础上补充优化：</w:t>
      </w:r>
    </w:p>
    <w:p w14:paraId="680C7635">
      <w:pPr>
        <w:pStyle w:val="19"/>
        <w:keepNext w:val="0"/>
        <w:keepLines w:val="0"/>
        <w:pageBreakBefore w:val="0"/>
        <w:widowControl/>
        <w:numPr>
          <w:ilvl w:val="0"/>
          <w:numId w:val="7"/>
        </w:numPr>
        <w:tabs>
          <w:tab w:val="left" w:pos="843"/>
          <w:tab w:val="clear" w:pos="2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学生发展总览：在校学生总数、班级数、出勤率（今日/本周/本月）、体质健康达标率、近视率、五育综合评价分布、心理健康预警人数。</w:t>
      </w:r>
    </w:p>
    <w:p w14:paraId="0ED6269D">
      <w:pPr>
        <w:pStyle w:val="19"/>
        <w:keepNext w:val="0"/>
        <w:keepLines w:val="0"/>
        <w:pageBreakBefore w:val="0"/>
        <w:widowControl/>
        <w:numPr>
          <w:ilvl w:val="0"/>
          <w:numId w:val="7"/>
        </w:numPr>
        <w:tabs>
          <w:tab w:val="left" w:pos="843"/>
          <w:tab w:val="clear" w:pos="2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教学质量总览：各年级各学科学业水平均值、优秀率、及格率、课堂教学质量综合评分、作业完成率、教师人均课时数。</w:t>
      </w:r>
    </w:p>
    <w:p w14:paraId="6AD24040">
      <w:pPr>
        <w:pStyle w:val="19"/>
        <w:keepNext w:val="0"/>
        <w:keepLines w:val="0"/>
        <w:pageBreakBefore w:val="0"/>
        <w:widowControl/>
        <w:numPr>
          <w:ilvl w:val="0"/>
          <w:numId w:val="7"/>
        </w:numPr>
        <w:tabs>
          <w:tab w:val="left" w:pos="843"/>
          <w:tab w:val="clear" w:pos="2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教师队伍总览：教职工总数、师资结构（年龄/学历/职称分布）、年度绩效整体分布、教师培训完成率、教研成果统计（论文/课题/竞赛）。</w:t>
      </w:r>
    </w:p>
    <w:p w14:paraId="5D22FBDA">
      <w:pPr>
        <w:pStyle w:val="19"/>
        <w:keepNext w:val="0"/>
        <w:keepLines w:val="0"/>
        <w:pageBreakBefore w:val="0"/>
        <w:widowControl/>
        <w:numPr>
          <w:ilvl w:val="0"/>
          <w:numId w:val="7"/>
        </w:numPr>
        <w:tabs>
          <w:tab w:val="left" w:pos="843"/>
          <w:tab w:val="clear" w:pos="2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特色指标：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eastAsia="zh-CN"/>
        </w:rPr>
        <w:t>应征单位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可结合我校办学特色，提出3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eastAsia="zh-CN"/>
        </w:rPr>
        <w:t>—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5个特色展示指标。</w:t>
      </w:r>
    </w:p>
    <w:p w14:paraId="5256A203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展示要求：支持数据下钻（从汇总数据点击查看明细）、支持时间维度筛选（日/周/月/学期/学年）、支持同比环比分析、支持异常数据预警标识。</w:t>
      </w:r>
    </w:p>
    <w:p w14:paraId="240AA638">
      <w:pPr>
        <w:pStyle w:val="4"/>
        <w:keepNext w:val="0"/>
        <w:keepLines w:val="0"/>
        <w:pageBreakBefore w:val="0"/>
        <w:numPr>
          <w:ilvl w:val="0"/>
          <w:numId w:val="3"/>
        </w:numPr>
        <w:tabs>
          <w:tab w:val="left" w:pos="7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楷体_GB2312" w:cs="仿宋"/>
          <w:b w:val="0"/>
          <w:bCs w:val="0"/>
          <w:sz w:val="32"/>
          <w:szCs w:val="32"/>
        </w:rPr>
        <w:t>全域可视化展示终端</w:t>
      </w:r>
    </w:p>
    <w:p w14:paraId="6A7DCB7A">
      <w:pPr>
        <w:pStyle w:val="5"/>
        <w:keepNext w:val="0"/>
        <w:keepLines w:val="0"/>
        <w:pageBreakBefore w:val="0"/>
        <w:numPr>
          <w:ilvl w:val="0"/>
          <w:numId w:val="8"/>
        </w:numPr>
        <w:tabs>
          <w:tab w:val="left" w:pos="10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sz w:val="32"/>
          <w:szCs w:val="32"/>
        </w:rPr>
        <w:t>户外LED大屏智能一体化升级</w:t>
      </w:r>
    </w:p>
    <w:p w14:paraId="68CDF714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校内目前有3块户外大屏，手动开关，并用各自的电脑播放。需进行升级改造，实现局域网内的网络化集中管控。</w:t>
      </w:r>
    </w:p>
    <w:p w14:paraId="7DBE3C28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校内可远程完成LED大屏单机开关机，实时监测设备在线状态。（限局域网范围内）</w:t>
      </w:r>
    </w:p>
    <w:p w14:paraId="3EE2E84B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内置节目编排模块，支持图文、短视频、校园简报、数据可视化图表等素材在线编辑制作，自定义分时段自动播放方案，同时支持手机、平板移动端操控管理。</w:t>
      </w:r>
    </w:p>
    <w:p w14:paraId="159B5E15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对接校长驾驶舱，一键推送至户外大屏，对外公开展示。</w:t>
      </w:r>
    </w:p>
    <w:p w14:paraId="2A17F04B">
      <w:pPr>
        <w:pStyle w:val="5"/>
        <w:keepNext w:val="0"/>
        <w:keepLines w:val="0"/>
        <w:pageBreakBefore w:val="0"/>
        <w:numPr>
          <w:ilvl w:val="0"/>
          <w:numId w:val="8"/>
        </w:numPr>
        <w:tabs>
          <w:tab w:val="left" w:pos="10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sz w:val="32"/>
          <w:szCs w:val="32"/>
        </w:rPr>
        <w:t>一站式可视化展示大屏</w:t>
      </w:r>
    </w:p>
    <w:p w14:paraId="40F4C40D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增设触控显示屏，可视化集中展示校园各项核心运营数据，包含全校学业整体均值、学生体质健康达标率、教职工年度绩效分布情况、教师个人生涯数字画像、学生心理健康预警人数、全域课堂教学质量等多维度指标，便于管理人员直观掌握全校办学整体态势。设备支持远程开关机管理，通电后自动启动并加载数据看板，无需人工操作，实现常态化无人值守展示。</w:t>
      </w:r>
    </w:p>
    <w:p w14:paraId="65438687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触摸屏</w:t>
      </w:r>
      <w:r>
        <w:rPr>
          <w:rFonts w:hint="eastAsia" w:eastAsia="仿宋_GB2312" w:cs="仿宋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4块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</w:p>
    <w:p w14:paraId="2C38D903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atLeas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</w:p>
    <w:p w14:paraId="5F08E816">
      <w:pPr>
        <w:pStyle w:val="15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line="560" w:lineRule="exact"/>
        <w:ind w:left="0" w:leftChars="0" w:firstLine="0" w:firstLineChars="0"/>
        <w:textAlignment w:val="auto"/>
        <w:outlineLvl w:val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 w:cs="仿宋"/>
          <w:b w:val="0"/>
          <w:bCs w:val="0"/>
          <w:sz w:val="32"/>
          <w:szCs w:val="32"/>
        </w:rPr>
        <w:t>模块三：校园AI智慧大脑支撑体系</w:t>
      </w:r>
    </w:p>
    <w:p w14:paraId="52897C94">
      <w:pPr>
        <w:pStyle w:val="4"/>
        <w:keepNext w:val="0"/>
        <w:keepLines w:val="0"/>
        <w:pageBreakBefore w:val="0"/>
        <w:numPr>
          <w:ilvl w:val="0"/>
          <w:numId w:val="9"/>
        </w:numPr>
        <w:tabs>
          <w:tab w:val="left" w:pos="7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楷体_GB2312" w:cs="仿宋"/>
          <w:b w:val="0"/>
          <w:bCs w:val="0"/>
          <w:sz w:val="32"/>
          <w:szCs w:val="32"/>
        </w:rPr>
        <w:t>规划校园AI智慧大脑所需算力</w:t>
      </w:r>
    </w:p>
    <w:p w14:paraId="1D19650F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规划搭建可弹性伸缩的 AI 算力底座，围绕校园智慧大脑建设目标，制定未来三年算力性能优化、资源动态适配的分步实施方案。教师可充分调用算力，运行大模型的对话、图像生成、视频生成、编程、桌面操控等Agent（如WorkBuddy、ArkClaw等）。学生通过校园统一身份认证登录使用AI系统；支持教师创建课堂临时会话，学生扫码快速加入课堂AI应用场景；所有学生使用日志（包括提问内容、使用时长等）留存不少于6个月，可审计可追溯。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val="en-US" w:eastAsia="zh-CN"/>
        </w:rPr>
        <w:t>涉及敏感信息的算力方案要符合相关安全要求。</w:t>
      </w:r>
    </w:p>
    <w:p w14:paraId="545732FE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val="en-US" w:eastAsia="zh-CN"/>
        </w:rPr>
        <w:t>AI 算力服务按三年订阅、按量计费模式报价，费用含三年服务费（按160人计算)；集成商须提供算力资源池化与弹性伸缩方案，具体采购方式由校方决定。</w:t>
      </w:r>
    </w:p>
    <w:p w14:paraId="03DEE55D">
      <w:pPr>
        <w:pStyle w:val="4"/>
        <w:keepNext w:val="0"/>
        <w:keepLines w:val="0"/>
        <w:pageBreakBefore w:val="0"/>
        <w:numPr>
          <w:ilvl w:val="0"/>
          <w:numId w:val="9"/>
        </w:numPr>
        <w:tabs>
          <w:tab w:val="left" w:pos="7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楷体_GB2312" w:cs="仿宋"/>
          <w:b w:val="0"/>
          <w:bCs w:val="0"/>
          <w:sz w:val="32"/>
          <w:szCs w:val="32"/>
        </w:rPr>
        <w:t>全域数据互联互通，构建校内私有知识库</w:t>
      </w:r>
    </w:p>
    <w:p w14:paraId="74AA5F84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打通各个业务系统之间的数据壁垒，对接校内各类信息资源，把制度文件、课件新闻、成果档案等非结构化文档统一汇总，并完成数据向量化处理，建成安全可控的校本私有知识库。</w:t>
      </w:r>
    </w:p>
    <w:p w14:paraId="30FA2249">
      <w:pPr>
        <w:pStyle w:val="5"/>
        <w:keepNext w:val="0"/>
        <w:keepLines w:val="0"/>
        <w:pageBreakBefore w:val="0"/>
        <w:numPr>
          <w:ilvl w:val="0"/>
          <w:numId w:val="10"/>
        </w:numPr>
        <w:tabs>
          <w:tab w:val="left" w:pos="10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校内OA办公系统：制度文件、通知、会议纪要；</w:t>
      </w:r>
    </w:p>
    <w:p w14:paraId="7500B913">
      <w:pPr>
        <w:pStyle w:val="5"/>
        <w:keepNext w:val="0"/>
        <w:keepLines w:val="0"/>
        <w:pageBreakBefore w:val="0"/>
        <w:numPr>
          <w:ilvl w:val="0"/>
          <w:numId w:val="10"/>
        </w:numPr>
        <w:tabs>
          <w:tab w:val="left" w:pos="10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本地 / 云端指定文档文件夹：教学课件、校本教材、教研材料；</w:t>
      </w:r>
    </w:p>
    <w:p w14:paraId="0A877E82">
      <w:pPr>
        <w:pStyle w:val="5"/>
        <w:keepNext w:val="0"/>
        <w:keepLines w:val="0"/>
        <w:pageBreakBefore w:val="0"/>
        <w:numPr>
          <w:ilvl w:val="0"/>
          <w:numId w:val="10"/>
        </w:numPr>
        <w:tabs>
          <w:tab w:val="left" w:pos="10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学校微信公众号后台：活动宣传、校园新闻、育人案例；</w:t>
      </w:r>
    </w:p>
    <w:p w14:paraId="1870C5E6">
      <w:pPr>
        <w:pStyle w:val="5"/>
        <w:keepNext w:val="0"/>
        <w:keepLines w:val="0"/>
        <w:pageBreakBefore w:val="0"/>
        <w:numPr>
          <w:ilvl w:val="0"/>
          <w:numId w:val="10"/>
        </w:numPr>
        <w:tabs>
          <w:tab w:val="left" w:pos="10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教师荣誉、考核方案、学生综合素质档案、五育评价素材等材料。</w:t>
      </w:r>
    </w:p>
    <w:p w14:paraId="72FFCC45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val="en-US" w:eastAsia="zh-CN"/>
        </w:rPr>
        <w:t>预算三年所需费用，按年付费</w:t>
      </w:r>
    </w:p>
    <w:p w14:paraId="1A5EEF5C">
      <w:pPr>
        <w:pStyle w:val="4"/>
        <w:keepNext w:val="0"/>
        <w:keepLines w:val="0"/>
        <w:pageBreakBefore w:val="0"/>
        <w:numPr>
          <w:ilvl w:val="0"/>
          <w:numId w:val="9"/>
        </w:numPr>
        <w:tabs>
          <w:tab w:val="left" w:pos="7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楷体_GB2312" w:cs="仿宋"/>
          <w:b w:val="0"/>
          <w:bCs w:val="0"/>
          <w:sz w:val="32"/>
          <w:szCs w:val="32"/>
        </w:rPr>
        <w:t>全角色自然语言智能问答检索</w:t>
      </w:r>
    </w:p>
    <w:p w14:paraId="038264BF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定制Agent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val="en-US" w:eastAsia="zh-CN"/>
        </w:rPr>
        <w:t>/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MCP Server，通过口语化文字、语音提问，根据角色权限分级调取私有知识库、业务数据库数据，自动检索、汇总对应信息，替代人工翻查档案、资料。</w:t>
      </w:r>
    </w:p>
    <w:p w14:paraId="626B2FA0">
      <w:pPr>
        <w:pStyle w:val="5"/>
        <w:keepNext w:val="0"/>
        <w:keepLines w:val="0"/>
        <w:pageBreakBefore w:val="0"/>
        <w:numPr>
          <w:ilvl w:val="0"/>
          <w:numId w:val="11"/>
        </w:numPr>
        <w:tabs>
          <w:tab w:val="left" w:pos="10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可自动汇总校内重大活动、日常校务、公众号宣传活动等内容，并定期生成校园动态简报，助力管理层快速掌握全校工作推进情况；</w:t>
      </w:r>
    </w:p>
    <w:p w14:paraId="173C7BAB">
      <w:pPr>
        <w:pStyle w:val="5"/>
        <w:keepNext w:val="0"/>
        <w:keepLines w:val="0"/>
        <w:pageBreakBefore w:val="0"/>
        <w:numPr>
          <w:ilvl w:val="0"/>
          <w:numId w:val="11"/>
        </w:numPr>
        <w:tabs>
          <w:tab w:val="left" w:pos="10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可查询全校绩效汇总、教师荣誉、全校学生成长统计、年度考核整体数据、各类制度文件、校园活动台账；</w:t>
      </w:r>
    </w:p>
    <w:p w14:paraId="7A5E03C5">
      <w:pPr>
        <w:pStyle w:val="5"/>
        <w:keepNext w:val="0"/>
        <w:keepLines w:val="0"/>
        <w:pageBreakBefore w:val="0"/>
        <w:numPr>
          <w:ilvl w:val="0"/>
          <w:numId w:val="11"/>
        </w:numPr>
        <w:tabs>
          <w:tab w:val="left" w:pos="10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可查询个人年度绩效计分明细、自身教研荣誉、本班学生学情、班级体质数据、教学课件、校本教学方案。</w:t>
      </w:r>
    </w:p>
    <w:p w14:paraId="7BC3A344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 w:cs="仿宋"/>
          <w:b w:val="0"/>
          <w:bCs w:val="0"/>
          <w:sz w:val="32"/>
          <w:szCs w:val="32"/>
        </w:rPr>
        <w:t>模块四：AI+教学应用</w:t>
      </w:r>
    </w:p>
    <w:p w14:paraId="7F1DF934">
      <w:pPr>
        <w:pStyle w:val="4"/>
        <w:keepNext w:val="0"/>
        <w:keepLines w:val="0"/>
        <w:pageBreakBefore w:val="0"/>
        <w:numPr>
          <w:ilvl w:val="0"/>
          <w:numId w:val="12"/>
        </w:numPr>
        <w:tabs>
          <w:tab w:val="left" w:pos="7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楷体_GB2312" w:cs="仿宋"/>
          <w:b w:val="0"/>
          <w:bCs w:val="0"/>
          <w:sz w:val="32"/>
          <w:szCs w:val="32"/>
        </w:rPr>
        <w:t>AI 课堂智能反馈系统</w:t>
      </w:r>
    </w:p>
    <w:p w14:paraId="1BA9DE5B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依托硬件采集终端 + AI 课堂智能分析软件平台，课中无感采集全课堂教学行为数据。系统自动识别分析教师授课语速、教学语言、课堂提问数量与提问质量；同步采集学生举手发言、随堂应答、课堂专注度等全体学情数据。课后自动生成标准化课堂诊断报告，客观梳理课堂亮点与教学薄弱环节。无需教研员现场听课评课，以量化数据客观评估课堂质量，帮助教师精准优化教学设计与授课模式。</w:t>
      </w:r>
    </w:p>
    <w:p w14:paraId="7E10A2AE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数量： 1 套   安装地点：阶梯教室</w:t>
      </w:r>
    </w:p>
    <w:p w14:paraId="3A78286C">
      <w:pPr>
        <w:pStyle w:val="4"/>
        <w:keepNext w:val="0"/>
        <w:keepLines w:val="0"/>
        <w:pageBreakBefore w:val="0"/>
        <w:numPr>
          <w:ilvl w:val="0"/>
          <w:numId w:val="12"/>
        </w:numPr>
        <w:tabs>
          <w:tab w:val="left" w:pos="7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楷体_GB2312" w:cs="仿宋"/>
          <w:b w:val="0"/>
          <w:bCs w:val="0"/>
          <w:sz w:val="32"/>
          <w:szCs w:val="32"/>
        </w:rPr>
        <w:t>AI 智能作业批改与答题卡评卷系统</w:t>
      </w:r>
    </w:p>
    <w:p w14:paraId="0874EBE3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本系统由高速扫描采集硬件与智能评阅软件共同组成，采用手写文字识别技术，覆盖线上习题、日常纸质作业、标准化考试答题卡三大场景。</w:t>
      </w:r>
    </w:p>
    <w:p w14:paraId="1EEC3E80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可批量扫描纸质作业与答题卡，自动完成图像裁切与内容识别。客观题自动判分；理科主观题实现分步打分；文科作文可从立意、语句、结构等多维度智能评分与批注，达到正式考试网上阅卷技术标准。</w:t>
      </w:r>
    </w:p>
    <w:p w14:paraId="75B8D63A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系统自动抓取学生错题，按照学科知识点、题型、错误原因进行分类归档，自动生成班级错题库以及学生个人电子错题本。</w:t>
      </w:r>
    </w:p>
    <w:p w14:paraId="2FE592EC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自动统计班级得分率、高频薄弱知识点，为每一名学生生成独立的学情分析报告，精准定位知识漏洞，有效减少教师人工批改与数据统计工作量。</w:t>
      </w:r>
    </w:p>
    <w:p w14:paraId="36FA3D18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智能作业批改系统</w:t>
      </w:r>
      <w:r>
        <w:rPr>
          <w:rFonts w:hint="eastAsia" w:eastAsia="仿宋_GB2312" w:cs="仿宋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 xml:space="preserve"> 台   按年计费</w:t>
      </w:r>
    </w:p>
    <w:p w14:paraId="37589E0F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 xml:space="preserve">答题卡评卷系统 </w:t>
      </w:r>
      <w:r>
        <w:rPr>
          <w:rFonts w:hint="eastAsia" w:eastAsia="仿宋_GB2312" w:cs="仿宋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 xml:space="preserve"> 1套    按年计费</w:t>
      </w:r>
    </w:p>
    <w:p w14:paraId="41398F7C">
      <w:pPr>
        <w:pStyle w:val="19"/>
        <w:keepNext w:val="0"/>
        <w:keepLines w:val="0"/>
        <w:pageBreakBefore w:val="0"/>
        <w:numPr>
          <w:ilvl w:val="0"/>
          <w:numId w:val="0"/>
        </w:numPr>
        <w:tabs>
          <w:tab w:val="left" w:pos="87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楷体_GB2312" w:cs="仿宋"/>
          <w:b w:val="0"/>
          <w:bCs w:val="0"/>
          <w:color w:val="auto"/>
          <w:sz w:val="32"/>
          <w:szCs w:val="32"/>
          <w:lang w:val="en-US" w:eastAsia="zh-CN"/>
        </w:rPr>
        <w:t>智能问答终端设备（实体硬件一体机）</w:t>
      </w:r>
    </w:p>
    <w:p w14:paraId="1F9B1B52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硬件设备内置大模型问答引擎与远场语音交互模块，支持师生现场面对面人机交互。学生可现场提问学科知识、科普常识、人工智能、校园事务等各类问题，设备依托大模型智能解析问题，以语音形式给出通俗易懂的标准答案，支持连续多轮对话。</w:t>
      </w:r>
    </w:p>
    <w:p w14:paraId="0D27F262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数量：2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val="en-US" w:eastAsia="zh-CN"/>
        </w:rPr>
        <w:t>套</w:t>
      </w:r>
    </w:p>
    <w:p w14:paraId="092CAD4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 w:cs="仿宋"/>
          <w:b w:val="0"/>
          <w:bCs w:val="0"/>
          <w:sz w:val="32"/>
          <w:szCs w:val="32"/>
        </w:rPr>
        <w:t>模块五：其他智能化建设</w:t>
      </w:r>
    </w:p>
    <w:p w14:paraId="2EC5F722">
      <w:pPr>
        <w:pStyle w:val="4"/>
        <w:keepNext w:val="0"/>
        <w:keepLines w:val="0"/>
        <w:pageBreakBefore w:val="0"/>
        <w:numPr>
          <w:ilvl w:val="0"/>
          <w:numId w:val="13"/>
        </w:numPr>
        <w:tabs>
          <w:tab w:val="left" w:pos="7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楷体_GB2312" w:cs="楷体"/>
          <w:b w:val="0"/>
          <w:bCs w:val="0"/>
          <w:sz w:val="32"/>
          <w:szCs w:val="32"/>
        </w:rPr>
        <w:t>放学路队通知系统</w:t>
      </w:r>
    </w:p>
    <w:p w14:paraId="382287EA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本模块主要用于规范小学放学路队管理，以班级为核心管理单位，依托校内多点位打卡机制，全程记录各班放学行进轨迹，实现放学流程可视化、数字化管控，彻底解决放学路队监管不及时、家长信息不对称的问题。</w:t>
      </w:r>
    </w:p>
    <w:p w14:paraId="1C797EE5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通过多点位分层打卡功能，系统可精准采集各班完整放学时序数据，清晰记录班级出教室、下楼行进、临近校门、全员离校四个核心阶段的具体时间，完整还原各班放学行进全过程。</w:t>
      </w:r>
    </w:p>
    <w:p w14:paraId="081E1567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系统支持数据实时同步公示，各班完成对应节点打卡后，最新的放学进度信息会即时推送至校门口LED大屏及家长端查询页面（数据经脱敏处理，不涉及学生身份与行踪明细），为家长提供便捷查询渠道。家长无需注册和登录账号，只需扫描校园专属二维码，即可随时随地查看自家孩子所在班级的实时放学动态与行进节点，实时掌握学生离校进度，合理规划接送时间，有效减少校门口聚集等候的情况。</w:t>
      </w:r>
    </w:p>
    <w:p w14:paraId="1C3BFCC0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数量：1套</w:t>
      </w:r>
    </w:p>
    <w:p w14:paraId="0AABCE8D">
      <w:pPr>
        <w:pStyle w:val="4"/>
        <w:keepNext w:val="0"/>
        <w:keepLines w:val="0"/>
        <w:pageBreakBefore w:val="0"/>
        <w:numPr>
          <w:ilvl w:val="0"/>
          <w:numId w:val="13"/>
        </w:numPr>
        <w:tabs>
          <w:tab w:val="left" w:pos="7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楷体_GB2312" w:cs="楷体"/>
          <w:b w:val="0"/>
          <w:bCs w:val="0"/>
          <w:sz w:val="32"/>
          <w:szCs w:val="32"/>
        </w:rPr>
        <w:t>核心网络设备迭代升级</w:t>
      </w:r>
    </w:p>
    <w:p w14:paraId="37622D8D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针对校园终端数量增多、智慧终端并发访问压力攀升的问题，对校园核心网络枢纽设备进行迭代升级，更换原有核心三层交换机、核心路由器及部分老旧设备线路，全线设备要与校内现有网络设备保持同一品牌，保障协议互通、配置兼容。消除网络卡顿、丢包、掉线问题，筑牢校园智慧业务稳定运行的网络底座。</w:t>
      </w:r>
    </w:p>
    <w:p w14:paraId="1B314C87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按200台移动终端、300台电脑、千兆宽带的流量设计型号</w:t>
      </w:r>
    </w:p>
    <w:p w14:paraId="5FCBD2B6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核心三层交换机</w:t>
      </w:r>
      <w:r>
        <w:rPr>
          <w:rFonts w:hint="eastAsia" w:eastAsia="仿宋_GB2312" w:cs="仿宋"/>
          <w:b w:val="0"/>
          <w:bCs w:val="0"/>
          <w:color w:val="auto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 xml:space="preserve"> 1台 （万兆光口〉=8个，千兆电口〉=8 个）</w:t>
      </w:r>
    </w:p>
    <w:p w14:paraId="42F4AD0C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核心路由器</w:t>
      </w:r>
      <w:r>
        <w:rPr>
          <w:rFonts w:hint="eastAsia" w:eastAsia="仿宋_GB2312" w:cs="仿宋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 xml:space="preserve"> 1台</w:t>
      </w:r>
    </w:p>
    <w:p w14:paraId="0D1C08F2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汇聚交换机</w:t>
      </w:r>
      <w:r>
        <w:rPr>
          <w:rFonts w:hint="eastAsia" w:eastAsia="仿宋_GB2312" w:cs="仿宋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 xml:space="preserve"> 2台   （4个万兆光口，24个千兆电口）</w:t>
      </w:r>
    </w:p>
    <w:p w14:paraId="6A52EF73">
      <w:pPr>
        <w:pStyle w:val="4"/>
        <w:keepNext w:val="0"/>
        <w:keepLines w:val="0"/>
        <w:pageBreakBefore w:val="0"/>
        <w:numPr>
          <w:ilvl w:val="0"/>
          <w:numId w:val="13"/>
        </w:numPr>
        <w:tabs>
          <w:tab w:val="left" w:pos="7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楷体_GB2312" w:cs="楷体"/>
          <w:b w:val="0"/>
          <w:bCs w:val="0"/>
          <w:sz w:val="32"/>
          <w:szCs w:val="32"/>
        </w:rPr>
        <w:t>简易型物联网平台建设</w:t>
      </w:r>
    </w:p>
    <w:p w14:paraId="43B24520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以上项目的内容凡涉及公共区域的硬件，通过有线网络的接入网络继电器，实现局域网内的集中远程电源开关机（暂不要求控制其他功能），并由统一的物联网平台管理。</w:t>
      </w:r>
    </w:p>
    <w:p w14:paraId="42C86D83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物联网平台 1套（厂家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val="en-US" w:eastAsia="zh-CN"/>
        </w:rPr>
        <w:t>免费提供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）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 xml:space="preserve">1路网络继电器   20个 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仿宋"/>
          <w:b w:val="0"/>
          <w:bCs w:val="0"/>
          <w:sz w:val="32"/>
          <w:szCs w:val="32"/>
        </w:rPr>
        <w:t>路网络继电器   5个</w:t>
      </w:r>
      <w:r>
        <w:rPr>
          <w:rFonts w:hint="eastAsia" w:ascii="Times New Roman" w:hAnsi="Times New Roman" w:eastAsia="仿宋_GB2312" w:cs="仿宋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接触器  2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 xml:space="preserve"> 个</w:t>
      </w:r>
    </w:p>
    <w:p w14:paraId="4B8B1EAE">
      <w:pPr>
        <w:pStyle w:val="4"/>
        <w:keepNext w:val="0"/>
        <w:keepLines w:val="0"/>
        <w:pageBreakBefore w:val="0"/>
        <w:numPr>
          <w:ilvl w:val="0"/>
          <w:numId w:val="9"/>
        </w:numPr>
        <w:tabs>
          <w:tab w:val="left" w:pos="7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楷体_GB2312" w:cs="楷体"/>
          <w:b w:val="0"/>
          <w:bCs w:val="0"/>
          <w:sz w:val="32"/>
          <w:szCs w:val="32"/>
        </w:rPr>
        <w:t>学术报告厅直播系统升级改造</w:t>
      </w:r>
    </w:p>
    <w:p w14:paraId="7A82DEA1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升级改造学术报告厅直播系统，提升直播质量。</w:t>
      </w:r>
    </w:p>
    <w:p w14:paraId="57752C69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显示器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台（23.8 英寸 2K，IPS ，对比度≥1000:1，≥300cd/㎡，99% sRGB 覆盖率、≥90% DCI-P3，出厂校色平均 ΔE≤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，带 sRGB 色域切换；I2.0+DP）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直播摄像头 3个 （ CMOS&gt;=1/1.2 英寸，HDMI输出）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硬件导播台 1台（4路hdmi 4K输入、1路hdmi输出，1路多画面预监、分轨独立录制、支持NDI）</w:t>
      </w:r>
    </w:p>
    <w:p w14:paraId="65986DEE">
      <w:pPr>
        <w:pStyle w:val="4"/>
        <w:keepNext w:val="0"/>
        <w:keepLines w:val="0"/>
        <w:pageBreakBefore w:val="0"/>
        <w:numPr>
          <w:ilvl w:val="0"/>
          <w:numId w:val="9"/>
        </w:numPr>
        <w:tabs>
          <w:tab w:val="left" w:pos="7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楷体_GB2312" w:cs="楷体"/>
          <w:b w:val="0"/>
          <w:bCs w:val="0"/>
          <w:sz w:val="32"/>
          <w:szCs w:val="32"/>
        </w:rPr>
        <w:t>票据智能处理</w:t>
      </w:r>
    </w:p>
    <w:p w14:paraId="291FB31F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 xml:space="preserve">统一归集数电票、财政电子票据、差旅及采购各类凭证，AI自动识别核验票据真伪、排查重复报销，实现票据分类台账管理与进项抵扣自动化。 </w:t>
      </w:r>
    </w:p>
    <w:p w14:paraId="39AFB594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按年付费。</w:t>
      </w:r>
    </w:p>
    <w:p w14:paraId="21E7AFCA">
      <w:pPr>
        <w:pStyle w:val="4"/>
        <w:keepNext w:val="0"/>
        <w:keepLines w:val="0"/>
        <w:pageBreakBefore w:val="0"/>
        <w:numPr>
          <w:ilvl w:val="0"/>
          <w:numId w:val="9"/>
        </w:numPr>
        <w:tabs>
          <w:tab w:val="left" w:pos="7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楷体_GB2312" w:cs="楷体"/>
          <w:b w:val="0"/>
          <w:bCs w:val="0"/>
          <w:sz w:val="32"/>
          <w:szCs w:val="32"/>
        </w:rPr>
        <w:t>校园智能讲解表演机器人</w:t>
      </w:r>
    </w:p>
    <w:p w14:paraId="7908FF8C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设备搭载可自定义分区式私有知识库系统，支持校史、科技科普、人文历史等多类知识内容独立导入与分类管理，可根据使用场景限定问答权限，实现指定模式下仅应答对应领域问题，自动过滤并拒绝非相关咨询内容。设备配备远场阵列抗噪语音交互模块，能够有效屏蔽校园人流密集环境的背景噪音，保障嘈杂参观场景下的精准拾音与稳定交互。既可在校史馆常态化开展智能导览、同步语音讲解与互动答疑，也可在校庆、开学典礼、科技节等大型校园活动中，独立完成标准化、成套化的文艺展演与情景展示，全面适配校园常态化接待与大型特色活动展示场景。</w:t>
      </w:r>
    </w:p>
    <w:p w14:paraId="2D4C0132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数量：2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val="en-US" w:eastAsia="zh-CN"/>
        </w:rPr>
        <w:t>套</w:t>
      </w:r>
    </w:p>
    <w:p w14:paraId="4D31D24F">
      <w:pPr>
        <w:pStyle w:val="4"/>
        <w:keepNext w:val="0"/>
        <w:keepLines w:val="0"/>
        <w:pageBreakBefore w:val="0"/>
        <w:numPr>
          <w:ilvl w:val="0"/>
          <w:numId w:val="9"/>
        </w:numPr>
        <w:tabs>
          <w:tab w:val="left" w:pos="7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楷体_GB2312" w:cs="楷体"/>
          <w:b w:val="0"/>
          <w:bCs w:val="0"/>
          <w:sz w:val="32"/>
          <w:szCs w:val="32"/>
        </w:rPr>
        <w:t>智能心理倾诉亭</w:t>
      </w:r>
    </w:p>
    <w:p w14:paraId="1533B09E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集硬件舱体、AI 交互、云平台于一体，支持 24 小时无人值守，内置联网模块（须支持有线/专网接入，语音与文本数据经加密通道传输、本地存储，不出校）。学生可匿名进入隔音舱，通过语音自由倾诉，AI 实时识别情绪并提供正念引导、呼吸训练等轻干预；内置 SCL-90 等专业量表支持自助测评。</w:t>
      </w:r>
    </w:p>
    <w:p w14:paraId="26EAB535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系统同时开设心理教师在线值守通道，学生可自主选择纯 AI 自助疏导，或是一键连线专职心理教师进行实时视频、文字一对一在线心理咨询。后台自动分析语音 / 文本数据，识别自杀、自伤等高风险信号，实时推送预警给心理老师，同时生成全校心理健康数据报告，辅助学校制定干预方案。</w:t>
      </w:r>
    </w:p>
    <w:p w14:paraId="67431CB9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楷体_GB2312" w:cs="楷体"/>
          <w:b w:val="0"/>
          <w:bCs w:val="0"/>
          <w:sz w:val="32"/>
          <w:szCs w:val="32"/>
          <w:lang w:val="en-US" w:eastAsia="zh-CN"/>
        </w:rPr>
        <w:t>智慧班牌展示系统</w:t>
      </w:r>
    </w:p>
    <w:p w14:paraId="11DCED33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自动归集班级学情、学生成长档案、校园通知公告、校园动态简报、班级荣誉、师生考勤等全域班级数据。后台自主完成数据清洗、版式适配与可视化渲染，无需教师人工编辑排版，定时精准推送专属可视化页面至各班班牌终端。</w:t>
      </w:r>
    </w:p>
    <w:p w14:paraId="5A19E946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智慧班牌电源可远程控制，采用独立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val="en-US" w:eastAsia="zh-CN"/>
        </w:rPr>
        <w:t>网络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线路隔离方式组网，不与校内原网络混用。</w:t>
      </w:r>
    </w:p>
    <w:p w14:paraId="4BBDEEC5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班级数：46</w:t>
      </w:r>
    </w:p>
    <w:p w14:paraId="38102511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交换机数：7</w:t>
      </w:r>
    </w:p>
    <w:p w14:paraId="05885C02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atLeas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</w:p>
    <w:p w14:paraId="2FC13A60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line="560" w:lineRule="exact"/>
        <w:ind w:left="0" w:leftChars="0" w:firstLine="0" w:firstLineChars="0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 w:cs="楷体"/>
          <w:b w:val="0"/>
          <w:bCs w:val="0"/>
          <w:sz w:val="32"/>
          <w:szCs w:val="32"/>
        </w:rPr>
        <w:t>模块六：特色拓展</w:t>
      </w:r>
    </w:p>
    <w:p w14:paraId="3945B615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各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val="en-US" w:eastAsia="zh-CN"/>
        </w:rPr>
        <w:t>应征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单位可结合本校现有智慧校园建设基础与实际运行现状，因地制宜拓展、增补适配本校办学特色、教学管理场景的智能化提质升级解决方案，充分体现方案的校本适配性与场景实用性。（特色拓展方案作为评标加分项，不计入方案总价，校方将根据实际需求选择是否采购）</w:t>
      </w:r>
    </w:p>
    <w:p w14:paraId="670A4BEB">
      <w:pPr>
        <w:pStyle w:val="19"/>
        <w:keepNext w:val="0"/>
        <w:keepLines w:val="0"/>
        <w:pageBreakBefore w:val="0"/>
        <w:widowControl/>
        <w:numPr>
          <w:ilvl w:val="0"/>
          <w:numId w:val="14"/>
        </w:numPr>
        <w:tabs>
          <w:tab w:val="left" w:pos="840"/>
          <w:tab w:val="clear" w:pos="2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AI辅助教学创新；</w:t>
      </w:r>
    </w:p>
    <w:p w14:paraId="5EF19BD8">
      <w:pPr>
        <w:pStyle w:val="19"/>
        <w:keepNext w:val="0"/>
        <w:keepLines w:val="0"/>
        <w:pageBreakBefore w:val="0"/>
        <w:widowControl/>
        <w:numPr>
          <w:ilvl w:val="0"/>
          <w:numId w:val="14"/>
        </w:numPr>
        <w:tabs>
          <w:tab w:val="left" w:pos="840"/>
          <w:tab w:val="clear" w:pos="2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五育评价深化；</w:t>
      </w:r>
    </w:p>
    <w:p w14:paraId="473DA34E">
      <w:pPr>
        <w:pStyle w:val="19"/>
        <w:keepNext w:val="0"/>
        <w:keepLines w:val="0"/>
        <w:pageBreakBefore w:val="0"/>
        <w:widowControl/>
        <w:numPr>
          <w:ilvl w:val="0"/>
          <w:numId w:val="14"/>
        </w:numPr>
        <w:tabs>
          <w:tab w:val="left" w:pos="840"/>
          <w:tab w:val="clear" w:pos="2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校园安全智慧管理；</w:t>
      </w:r>
    </w:p>
    <w:p w14:paraId="518CBF66">
      <w:pPr>
        <w:pStyle w:val="19"/>
        <w:keepNext w:val="0"/>
        <w:keepLines w:val="0"/>
        <w:pageBreakBefore w:val="0"/>
        <w:widowControl/>
        <w:numPr>
          <w:ilvl w:val="0"/>
          <w:numId w:val="14"/>
        </w:numPr>
        <w:tabs>
          <w:tab w:val="left" w:pos="840"/>
          <w:tab w:val="clear" w:pos="2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教师专业发展；</w:t>
      </w:r>
    </w:p>
    <w:p w14:paraId="6B284B62">
      <w:pPr>
        <w:pStyle w:val="19"/>
        <w:keepNext w:val="0"/>
        <w:keepLines w:val="0"/>
        <w:pageBreakBefore w:val="0"/>
        <w:widowControl/>
        <w:numPr>
          <w:ilvl w:val="0"/>
          <w:numId w:val="14"/>
        </w:numPr>
        <w:tabs>
          <w:tab w:val="left" w:pos="840"/>
          <w:tab w:val="clear" w:pos="2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家校协同育人。</w:t>
      </w:r>
    </w:p>
    <w:p w14:paraId="494199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eastAsia="zh-CN"/>
        </w:rPr>
        <w:t>应征单位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可结合自身技术优势和项目经验，选择1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eastAsia="zh-CN"/>
        </w:rPr>
        <w:t>—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2个方向提出具体的特色拓展方案，方案须包含功能描述、技术实现路径、预期效果、参考报价等内容。</w:t>
      </w:r>
    </w:p>
    <w:p w14:paraId="2A53DCFF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atLeas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</w:p>
    <w:p w14:paraId="1C24ECEF">
      <w:pPr>
        <w:pStyle w:val="3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 w:cs="楷体"/>
          <w:b w:val="0"/>
          <w:bCs w:val="0"/>
          <w:sz w:val="32"/>
          <w:szCs w:val="32"/>
          <w:lang w:eastAsia="zh-CN"/>
        </w:rPr>
        <w:t>应征</w:t>
      </w:r>
      <w:r>
        <w:rPr>
          <w:rFonts w:hint="eastAsia" w:ascii="Times New Roman" w:hAnsi="Times New Roman" w:eastAsia="黑体" w:cs="楷体"/>
          <w:b w:val="0"/>
          <w:bCs w:val="0"/>
          <w:sz w:val="32"/>
          <w:szCs w:val="32"/>
        </w:rPr>
        <w:t>方案编制要求</w:t>
      </w:r>
    </w:p>
    <w:p w14:paraId="3E926170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各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eastAsia="zh-CN"/>
        </w:rPr>
        <w:t>应征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单位须按业务模块分别编制专项建设实施方案。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val="en-US" w:eastAsia="zh-CN"/>
        </w:rPr>
        <w:t>校方将在上级部门的监督下随机抽取资深的专家进行方案评审，并按专家推荐的方案实施。</w:t>
      </w:r>
    </w:p>
    <w:p w14:paraId="641B8299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方案内容必须涵盖：项目总体建设目标、整体技术实施路线、设备技术选型标准及选型论证依据、分阶段实施推进计划、全周期运维保障体系、项目预期建设成效，以及完整的软硬件分项预算清单。本项目所有硬件设备、软件平台均须提供三年原厂质保服务；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  <w:lang w:eastAsia="zh-CN"/>
        </w:rPr>
        <w:t>应征单位</w:t>
      </w: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>应具备本地化技术服务能力，清晰列明服务响应流程、人员配置与售后保障措施。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4202B9-D067-4FE8-96C0-59B59DF4705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40C8A86-93C2-4677-8E7E-5965FC50A22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16CEEA6-2275-4623-BAA6-A1280537E2D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179F9C4-EB7D-4760-886D-972B97C6203F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368C086C-D6C5-428F-A310-42D36660955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70E53630-509D-4223-AE9E-9551803D16F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BB530F"/>
    <w:multiLevelType w:val="singleLevel"/>
    <w:tmpl w:val="8FBB530F"/>
    <w:lvl w:ilvl="0" w:tentative="0">
      <w:start w:val="1"/>
      <w:numFmt w:val="decimal"/>
      <w:suff w:val="nothing"/>
      <w:lvlText w:val="（%1）"/>
      <w:lvlJc w:val="left"/>
      <w:pPr>
        <w:ind w:left="0" w:firstLine="0"/>
      </w:pPr>
      <w:rPr>
        <w:rFonts w:hint="default"/>
      </w:rPr>
    </w:lvl>
  </w:abstractNum>
  <w:abstractNum w:abstractNumId="1">
    <w:nsid w:val="98E9F374"/>
    <w:multiLevelType w:val="singleLevel"/>
    <w:tmpl w:val="98E9F374"/>
    <w:lvl w:ilvl="0" w:tentative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</w:abstractNum>
  <w:abstractNum w:abstractNumId="2">
    <w:nsid w:val="9B884C4C"/>
    <w:multiLevelType w:val="singleLevel"/>
    <w:tmpl w:val="9B884C4C"/>
    <w:lvl w:ilvl="0" w:tentative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</w:abstractNum>
  <w:abstractNum w:abstractNumId="3">
    <w:nsid w:val="D1AA20F3"/>
    <w:multiLevelType w:val="singleLevel"/>
    <w:tmpl w:val="D1AA20F3"/>
    <w:lvl w:ilvl="0" w:tentative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</w:abstractNum>
  <w:abstractNum w:abstractNumId="4">
    <w:nsid w:val="F6AC184C"/>
    <w:multiLevelType w:val="singleLevel"/>
    <w:tmpl w:val="F6AC184C"/>
    <w:lvl w:ilvl="0" w:tentative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</w:abstractNum>
  <w:abstractNum w:abstractNumId="5">
    <w:nsid w:val="F82FB7E8"/>
    <w:multiLevelType w:val="singleLevel"/>
    <w:tmpl w:val="F82FB7E8"/>
    <w:lvl w:ilvl="0" w:tentative="0">
      <w:start w:val="1"/>
      <w:numFmt w:val="decimal"/>
      <w:suff w:val="nothing"/>
      <w:lvlText w:val="（%1）"/>
      <w:lvlJc w:val="left"/>
      <w:pPr>
        <w:ind w:left="0" w:firstLine="0"/>
      </w:pPr>
      <w:rPr>
        <w:rFonts w:hint="default"/>
      </w:rPr>
    </w:lvl>
  </w:abstractNum>
  <w:abstractNum w:abstractNumId="6">
    <w:nsid w:val="0053208E"/>
    <w:multiLevelType w:val="multilevel"/>
    <w:tmpl w:val="0053208E"/>
    <w:lvl w:ilvl="0" w:tentative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</w:rPr>
    </w:lvl>
    <w:lvl w:ilvl="1" w:tentative="0">
      <w:start w:val="1"/>
      <w:numFmt w:val="bullet"/>
      <w:lvlText w:val="¡"/>
      <w:lvlJc w:val="left"/>
      <w:pPr>
        <w:ind w:left="672" w:hanging="336"/>
      </w:pPr>
      <w:rPr>
        <w:rFonts w:hint="default" w:ascii="Wingdings" w:hAnsi="Wingdings" w:cs="Wingdings"/>
      </w:rPr>
    </w:lvl>
    <w:lvl w:ilvl="2" w:tentative="0">
      <w:start w:val="1"/>
      <w:numFmt w:val="bullet"/>
      <w:lvlText w:val=""/>
      <w:lvlJc w:val="left"/>
      <w:pPr>
        <w:ind w:left="1008" w:hanging="336"/>
      </w:pPr>
      <w:rPr>
        <w:rFonts w:hint="default" w:ascii="Wingdings" w:hAnsi="Wingdings" w:cs="Wingdings"/>
      </w:rPr>
    </w:lvl>
    <w:lvl w:ilvl="3" w:tentative="0">
      <w:start w:val="1"/>
      <w:numFmt w:val="bullet"/>
      <w:lvlText w:val=""/>
      <w:lvlJc w:val="left"/>
      <w:pPr>
        <w:ind w:left="1344" w:hanging="336"/>
      </w:pPr>
      <w:rPr>
        <w:rFonts w:hint="default" w:ascii="Wingdings" w:hAnsi="Wingdings" w:cs="Wingdings"/>
      </w:rPr>
    </w:lvl>
    <w:lvl w:ilvl="4" w:tentative="0">
      <w:start w:val="1"/>
      <w:numFmt w:val="bullet"/>
      <w:lvlText w:val="¡"/>
      <w:lvlJc w:val="left"/>
      <w:pPr>
        <w:ind w:left="1680" w:hanging="336"/>
      </w:pPr>
      <w:rPr>
        <w:rFonts w:hint="default" w:ascii="Wingdings" w:hAnsi="Wingdings" w:cs="Wingdings"/>
      </w:rPr>
    </w:lvl>
    <w:lvl w:ilvl="5" w:tentative="0">
      <w:start w:val="1"/>
      <w:numFmt w:val="bullet"/>
      <w:lvlText w:val=""/>
      <w:lvlJc w:val="left"/>
      <w:pPr>
        <w:ind w:left="2016" w:hanging="336"/>
      </w:pPr>
      <w:rPr>
        <w:rFonts w:hint="default" w:ascii="Wingdings" w:hAnsi="Wingdings" w:cs="Wingdings"/>
      </w:rPr>
    </w:lvl>
    <w:lvl w:ilvl="6" w:tentative="0">
      <w:start w:val="1"/>
      <w:numFmt w:val="bullet"/>
      <w:lvlText w:val=""/>
      <w:lvlJc w:val="left"/>
      <w:pPr>
        <w:ind w:left="2352" w:hanging="336"/>
      </w:pPr>
      <w:rPr>
        <w:rFonts w:hint="default" w:ascii="Wingdings" w:hAnsi="Wingdings" w:cs="Wingdings"/>
      </w:rPr>
    </w:lvl>
    <w:lvl w:ilvl="7" w:tentative="0">
      <w:start w:val="1"/>
      <w:numFmt w:val="bullet"/>
      <w:lvlText w:val="¡"/>
      <w:lvlJc w:val="left"/>
      <w:pPr>
        <w:ind w:left="2688" w:hanging="336"/>
      </w:pPr>
      <w:rPr>
        <w:rFonts w:hint="default" w:ascii="Wingdings" w:hAnsi="Wingdings" w:cs="Wingdings"/>
      </w:rPr>
    </w:lvl>
    <w:lvl w:ilvl="8" w:tentative="0">
      <w:start w:val="1"/>
      <w:numFmt w:val="bullet"/>
      <w:lvlText w:val=""/>
      <w:lvlJc w:val="left"/>
      <w:pPr>
        <w:ind w:left="3024" w:hanging="336"/>
      </w:pPr>
      <w:rPr>
        <w:rFonts w:hint="default" w:ascii="Wingdings" w:hAnsi="Wingdings" w:cs="Wingdings"/>
      </w:rPr>
    </w:lvl>
  </w:abstractNum>
  <w:abstractNum w:abstractNumId="7">
    <w:nsid w:val="04B5A5A5"/>
    <w:multiLevelType w:val="singleLevel"/>
    <w:tmpl w:val="04B5A5A5"/>
    <w:lvl w:ilvl="0" w:tentative="0">
      <w:start w:val="1"/>
      <w:numFmt w:val="decimalEnclosedCircleChinese"/>
      <w:lvlText w:val="%1"/>
      <w:lvlJc w:val="left"/>
      <w:pPr>
        <w:tabs>
          <w:tab w:val="left" w:pos="210"/>
        </w:tabs>
        <w:ind w:left="0" w:firstLine="480"/>
      </w:pPr>
      <w:rPr>
        <w:rFonts w:hint="eastAsia"/>
      </w:rPr>
    </w:lvl>
  </w:abstractNum>
  <w:abstractNum w:abstractNumId="8">
    <w:nsid w:val="171252BC"/>
    <w:multiLevelType w:val="singleLevel"/>
    <w:tmpl w:val="171252BC"/>
    <w:lvl w:ilvl="0" w:tentative="0">
      <w:start w:val="1"/>
      <w:numFmt w:val="decimalEnclosedCircleChinese"/>
      <w:lvlText w:val="%1"/>
      <w:lvlJc w:val="left"/>
      <w:pPr>
        <w:tabs>
          <w:tab w:val="left" w:pos="210"/>
        </w:tabs>
        <w:ind w:left="0" w:firstLine="482"/>
      </w:pPr>
      <w:rPr>
        <w:rFonts w:hint="eastAsia"/>
      </w:rPr>
    </w:lvl>
  </w:abstractNum>
  <w:abstractNum w:abstractNumId="9">
    <w:nsid w:val="2D37B432"/>
    <w:multiLevelType w:val="singleLevel"/>
    <w:tmpl w:val="2D37B432"/>
    <w:lvl w:ilvl="0" w:tentative="0">
      <w:start w:val="1"/>
      <w:numFmt w:val="decimal"/>
      <w:suff w:val="nothing"/>
      <w:lvlText w:val="（%1）"/>
      <w:lvlJc w:val="left"/>
      <w:pPr>
        <w:ind w:left="0" w:firstLine="0"/>
      </w:pPr>
      <w:rPr>
        <w:rFonts w:hint="default"/>
      </w:rPr>
    </w:lvl>
  </w:abstractNum>
  <w:abstractNum w:abstractNumId="10">
    <w:nsid w:val="45F49331"/>
    <w:multiLevelType w:val="singleLevel"/>
    <w:tmpl w:val="45F49331"/>
    <w:lvl w:ilvl="0" w:tentative="0">
      <w:start w:val="1"/>
      <w:numFmt w:val="decimal"/>
      <w:suff w:val="nothing"/>
      <w:lvlText w:val="（%1）"/>
      <w:lvlJc w:val="left"/>
      <w:pPr>
        <w:ind w:left="0" w:firstLine="0"/>
      </w:pPr>
      <w:rPr>
        <w:rFonts w:hint="default"/>
      </w:rPr>
    </w:lvl>
  </w:abstractNum>
  <w:abstractNum w:abstractNumId="11">
    <w:nsid w:val="6D5CECB5"/>
    <w:multiLevelType w:val="singleLevel"/>
    <w:tmpl w:val="6D5CECB5"/>
    <w:lvl w:ilvl="0" w:tentative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</w:abstractNum>
  <w:abstractNum w:abstractNumId="12">
    <w:nsid w:val="79701C76"/>
    <w:multiLevelType w:val="singleLevel"/>
    <w:tmpl w:val="79701C76"/>
    <w:lvl w:ilvl="0" w:tentative="0">
      <w:start w:val="2"/>
      <w:numFmt w:val="decimal"/>
      <w:suff w:val="nothing"/>
      <w:lvlText w:val="（%1）"/>
      <w:lvlJc w:val="left"/>
    </w:lvl>
  </w:abstractNum>
  <w:abstractNum w:abstractNumId="13">
    <w:nsid w:val="7B10F303"/>
    <w:multiLevelType w:val="singleLevel"/>
    <w:tmpl w:val="7B10F303"/>
    <w:lvl w:ilvl="0" w:tentative="0">
      <w:start w:val="1"/>
      <w:numFmt w:val="decimal"/>
      <w:suff w:val="nothing"/>
      <w:lvlText w:val="（%1）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3"/>
  </w:num>
  <w:num w:numId="5">
    <w:abstractNumId w:val="6"/>
  </w:num>
  <w:num w:numId="6">
    <w:abstractNumId w:val="9"/>
  </w:num>
  <w:num w:numId="7">
    <w:abstractNumId w:val="8"/>
  </w:num>
  <w:num w:numId="8">
    <w:abstractNumId w:val="10"/>
  </w:num>
  <w:num w:numId="9">
    <w:abstractNumId w:val="11"/>
  </w:num>
  <w:num w:numId="10">
    <w:abstractNumId w:val="0"/>
  </w:num>
  <w:num w:numId="11">
    <w:abstractNumId w:val="5"/>
  </w:num>
  <w:num w:numId="12">
    <w:abstractNumId w:val="4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3654"/>
    <w:rsid w:val="00034616"/>
    <w:rsid w:val="0006063C"/>
    <w:rsid w:val="0015074B"/>
    <w:rsid w:val="0029639D"/>
    <w:rsid w:val="00326F90"/>
    <w:rsid w:val="0098388D"/>
    <w:rsid w:val="00AA1D8D"/>
    <w:rsid w:val="00B47730"/>
    <w:rsid w:val="00CB0664"/>
    <w:rsid w:val="00FC693F"/>
    <w:rsid w:val="01DB2D58"/>
    <w:rsid w:val="02104C13"/>
    <w:rsid w:val="024B6E08"/>
    <w:rsid w:val="04212517"/>
    <w:rsid w:val="042D3F5F"/>
    <w:rsid w:val="05C173E2"/>
    <w:rsid w:val="060F45F1"/>
    <w:rsid w:val="06414D4C"/>
    <w:rsid w:val="06693012"/>
    <w:rsid w:val="076B2C9B"/>
    <w:rsid w:val="078B5EF9"/>
    <w:rsid w:val="07A56FBB"/>
    <w:rsid w:val="07E74636"/>
    <w:rsid w:val="07F12200"/>
    <w:rsid w:val="09B554AF"/>
    <w:rsid w:val="09FF4132"/>
    <w:rsid w:val="0A1B5312"/>
    <w:rsid w:val="0AC32E8A"/>
    <w:rsid w:val="0C1C7A68"/>
    <w:rsid w:val="0C9B4A10"/>
    <w:rsid w:val="0D136775"/>
    <w:rsid w:val="0D354F69"/>
    <w:rsid w:val="0D892E9F"/>
    <w:rsid w:val="0E65475F"/>
    <w:rsid w:val="0EC20FAC"/>
    <w:rsid w:val="0ED64601"/>
    <w:rsid w:val="0F310F0E"/>
    <w:rsid w:val="103D5E34"/>
    <w:rsid w:val="1044135D"/>
    <w:rsid w:val="106F0166"/>
    <w:rsid w:val="11755507"/>
    <w:rsid w:val="11A46535"/>
    <w:rsid w:val="11EE77B0"/>
    <w:rsid w:val="12745F08"/>
    <w:rsid w:val="134753CA"/>
    <w:rsid w:val="142B2443"/>
    <w:rsid w:val="149A59CD"/>
    <w:rsid w:val="15B4486D"/>
    <w:rsid w:val="15CE592F"/>
    <w:rsid w:val="162437A1"/>
    <w:rsid w:val="16753FFC"/>
    <w:rsid w:val="16C77EC8"/>
    <w:rsid w:val="173F012B"/>
    <w:rsid w:val="194303E2"/>
    <w:rsid w:val="1B80591D"/>
    <w:rsid w:val="1C4C3A51"/>
    <w:rsid w:val="1CC655B2"/>
    <w:rsid w:val="1DB63878"/>
    <w:rsid w:val="1E2A1B70"/>
    <w:rsid w:val="1E326C77"/>
    <w:rsid w:val="1E7554E1"/>
    <w:rsid w:val="1EB83620"/>
    <w:rsid w:val="1F6317DE"/>
    <w:rsid w:val="1F72557D"/>
    <w:rsid w:val="1FA45952"/>
    <w:rsid w:val="20831A0C"/>
    <w:rsid w:val="21410299"/>
    <w:rsid w:val="22AA3280"/>
    <w:rsid w:val="24807C9E"/>
    <w:rsid w:val="2483647E"/>
    <w:rsid w:val="24973CD7"/>
    <w:rsid w:val="24BB1774"/>
    <w:rsid w:val="25137802"/>
    <w:rsid w:val="254A2AF8"/>
    <w:rsid w:val="258C3110"/>
    <w:rsid w:val="25E20F82"/>
    <w:rsid w:val="26341454"/>
    <w:rsid w:val="266100F9"/>
    <w:rsid w:val="27194E78"/>
    <w:rsid w:val="27765E26"/>
    <w:rsid w:val="27914A0E"/>
    <w:rsid w:val="27A73335"/>
    <w:rsid w:val="27F54F9D"/>
    <w:rsid w:val="28EC138C"/>
    <w:rsid w:val="2A072CB3"/>
    <w:rsid w:val="2A992557"/>
    <w:rsid w:val="2AC11AAE"/>
    <w:rsid w:val="2ACD3FAF"/>
    <w:rsid w:val="2BCC24B9"/>
    <w:rsid w:val="2BE041B6"/>
    <w:rsid w:val="2C504E98"/>
    <w:rsid w:val="2CFD61A9"/>
    <w:rsid w:val="2DAA06FA"/>
    <w:rsid w:val="2DB30329"/>
    <w:rsid w:val="2EC4391B"/>
    <w:rsid w:val="305D5DD5"/>
    <w:rsid w:val="312A2724"/>
    <w:rsid w:val="31B16024"/>
    <w:rsid w:val="323D1A1A"/>
    <w:rsid w:val="34513BC3"/>
    <w:rsid w:val="34BB4E3C"/>
    <w:rsid w:val="361372D3"/>
    <w:rsid w:val="3619535F"/>
    <w:rsid w:val="36692D28"/>
    <w:rsid w:val="36CE3589"/>
    <w:rsid w:val="36E737AD"/>
    <w:rsid w:val="36ED7BAA"/>
    <w:rsid w:val="370B587C"/>
    <w:rsid w:val="374E46CA"/>
    <w:rsid w:val="37C404E8"/>
    <w:rsid w:val="39616936"/>
    <w:rsid w:val="3980268B"/>
    <w:rsid w:val="39AD5700"/>
    <w:rsid w:val="3B354E78"/>
    <w:rsid w:val="3BBD597A"/>
    <w:rsid w:val="3C3A0A68"/>
    <w:rsid w:val="3CBF0783"/>
    <w:rsid w:val="3D2E2FD3"/>
    <w:rsid w:val="3D6267D9"/>
    <w:rsid w:val="3DBF1E7D"/>
    <w:rsid w:val="3DE03BA2"/>
    <w:rsid w:val="3DEB2C72"/>
    <w:rsid w:val="3E3F4D6C"/>
    <w:rsid w:val="3EBF7C5B"/>
    <w:rsid w:val="3ED150E0"/>
    <w:rsid w:val="3FC61FED"/>
    <w:rsid w:val="400D3374"/>
    <w:rsid w:val="40161AFD"/>
    <w:rsid w:val="40D93256"/>
    <w:rsid w:val="4168282C"/>
    <w:rsid w:val="42402E61"/>
    <w:rsid w:val="42A6360C"/>
    <w:rsid w:val="43B60244"/>
    <w:rsid w:val="44283AC1"/>
    <w:rsid w:val="44503C34"/>
    <w:rsid w:val="44A973E3"/>
    <w:rsid w:val="457C0EFB"/>
    <w:rsid w:val="46AB11F1"/>
    <w:rsid w:val="47424128"/>
    <w:rsid w:val="47C50090"/>
    <w:rsid w:val="484418FD"/>
    <w:rsid w:val="4860600B"/>
    <w:rsid w:val="49496A9F"/>
    <w:rsid w:val="497003A2"/>
    <w:rsid w:val="4A985F30"/>
    <w:rsid w:val="4B3F63AB"/>
    <w:rsid w:val="4F5C39D0"/>
    <w:rsid w:val="50324731"/>
    <w:rsid w:val="50A3118B"/>
    <w:rsid w:val="516623E4"/>
    <w:rsid w:val="52BF7DD2"/>
    <w:rsid w:val="5324553D"/>
    <w:rsid w:val="53EC5BF6"/>
    <w:rsid w:val="540E6587"/>
    <w:rsid w:val="54582361"/>
    <w:rsid w:val="545F186C"/>
    <w:rsid w:val="546D21DB"/>
    <w:rsid w:val="54C55B73"/>
    <w:rsid w:val="54D36316"/>
    <w:rsid w:val="551663CF"/>
    <w:rsid w:val="555733A2"/>
    <w:rsid w:val="55766E6E"/>
    <w:rsid w:val="55F06C20"/>
    <w:rsid w:val="57C00874"/>
    <w:rsid w:val="58B2640F"/>
    <w:rsid w:val="58DE7204"/>
    <w:rsid w:val="5A1D3DD1"/>
    <w:rsid w:val="5A3B264B"/>
    <w:rsid w:val="5A540EEB"/>
    <w:rsid w:val="5A9B1124"/>
    <w:rsid w:val="5C427AAA"/>
    <w:rsid w:val="5C6077DD"/>
    <w:rsid w:val="5C683FC9"/>
    <w:rsid w:val="5C8207EE"/>
    <w:rsid w:val="5D18303F"/>
    <w:rsid w:val="5DC50992"/>
    <w:rsid w:val="5DEB5F1F"/>
    <w:rsid w:val="5E035AD5"/>
    <w:rsid w:val="5EF3152F"/>
    <w:rsid w:val="5F5A15AE"/>
    <w:rsid w:val="60C62009"/>
    <w:rsid w:val="618648DC"/>
    <w:rsid w:val="62624078"/>
    <w:rsid w:val="62C3746A"/>
    <w:rsid w:val="633A772C"/>
    <w:rsid w:val="633F5BB1"/>
    <w:rsid w:val="63D77671"/>
    <w:rsid w:val="64195594"/>
    <w:rsid w:val="65533E5D"/>
    <w:rsid w:val="6672479F"/>
    <w:rsid w:val="66967370"/>
    <w:rsid w:val="67A55390"/>
    <w:rsid w:val="67DE2886"/>
    <w:rsid w:val="68D300DD"/>
    <w:rsid w:val="68DB7267"/>
    <w:rsid w:val="69076303"/>
    <w:rsid w:val="69845BA5"/>
    <w:rsid w:val="6A5C56BC"/>
    <w:rsid w:val="6A9921AD"/>
    <w:rsid w:val="6B3C7DBA"/>
    <w:rsid w:val="6B623CC4"/>
    <w:rsid w:val="6C922387"/>
    <w:rsid w:val="6C97799E"/>
    <w:rsid w:val="6CCD7863"/>
    <w:rsid w:val="6D543AE1"/>
    <w:rsid w:val="6DBD1686"/>
    <w:rsid w:val="6DCE3893"/>
    <w:rsid w:val="6E02353D"/>
    <w:rsid w:val="6E380FCC"/>
    <w:rsid w:val="6F01162E"/>
    <w:rsid w:val="6F372DB8"/>
    <w:rsid w:val="6F411E43"/>
    <w:rsid w:val="6F993A2D"/>
    <w:rsid w:val="6FC62348"/>
    <w:rsid w:val="703C2F7E"/>
    <w:rsid w:val="710C022E"/>
    <w:rsid w:val="719A2A70"/>
    <w:rsid w:val="72AC1CC9"/>
    <w:rsid w:val="734168B5"/>
    <w:rsid w:val="73B344DE"/>
    <w:rsid w:val="74387CB8"/>
    <w:rsid w:val="74A76BEC"/>
    <w:rsid w:val="75CB4B5C"/>
    <w:rsid w:val="75D03F20"/>
    <w:rsid w:val="762E58D1"/>
    <w:rsid w:val="768129FD"/>
    <w:rsid w:val="76AA4771"/>
    <w:rsid w:val="76DE49AA"/>
    <w:rsid w:val="77165DBC"/>
    <w:rsid w:val="7803238B"/>
    <w:rsid w:val="78623556"/>
    <w:rsid w:val="794C2D00"/>
    <w:rsid w:val="79815C5D"/>
    <w:rsid w:val="7A140880"/>
    <w:rsid w:val="7A480529"/>
    <w:rsid w:val="7B362A78"/>
    <w:rsid w:val="7C7F3FAA"/>
    <w:rsid w:val="7C921F30"/>
    <w:rsid w:val="7CC540B3"/>
    <w:rsid w:val="7D3354C1"/>
    <w:rsid w:val="7D7653AD"/>
    <w:rsid w:val="7E002EC9"/>
    <w:rsid w:val="7E4D7B7B"/>
    <w:rsid w:val="7E9660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paragraph" w:styleId="3">
    <w:name w:val="heading 1"/>
    <w:next w:val="1"/>
    <w:qFormat/>
    <w:uiPriority w:val="9"/>
    <w:pPr>
      <w:keepNext w:val="0"/>
      <w:keepLines w:val="0"/>
      <w:widowControl w:val="0"/>
      <w:spacing w:before="240" w:beforeLines="0" w:after="120" w:line="360" w:lineRule="auto"/>
      <w:jc w:val="left"/>
      <w:outlineLvl w:val="0"/>
    </w:pPr>
    <w:rPr>
      <w:rFonts w:ascii="宋体" w:hAnsi="宋体" w:eastAsia="宋体" w:cs="宋体"/>
      <w:b/>
      <w:bCs/>
      <w:kern w:val="44"/>
      <w:sz w:val="24"/>
      <w:szCs w:val="30"/>
    </w:rPr>
  </w:style>
  <w:style w:type="paragraph" w:styleId="4">
    <w:name w:val="heading 2"/>
    <w:next w:val="1"/>
    <w:unhideWhenUsed/>
    <w:qFormat/>
    <w:uiPriority w:val="9"/>
    <w:pPr>
      <w:keepNext w:val="0"/>
      <w:keepLines w:val="0"/>
      <w:widowControl w:val="0"/>
      <w:spacing w:beforeAutospacing="0" w:after="120" w:afterAutospacing="0" w:line="360" w:lineRule="auto"/>
      <w:jc w:val="left"/>
      <w:outlineLvl w:val="1"/>
    </w:pPr>
    <w:rPr>
      <w:rFonts w:ascii="Times New Roman" w:hAnsi="Times New Roman" w:eastAsia="宋体" w:cs="Times New Roman"/>
      <w:b/>
      <w:sz w:val="24"/>
    </w:rPr>
  </w:style>
  <w:style w:type="paragraph" w:styleId="5">
    <w:name w:val="heading 3"/>
    <w:next w:val="1"/>
    <w:unhideWhenUsed/>
    <w:qFormat/>
    <w:uiPriority w:val="9"/>
    <w:pPr>
      <w:keepNext w:val="0"/>
      <w:keepLines w:val="0"/>
      <w:widowControl w:val="0"/>
      <w:spacing w:beforeAutospacing="0" w:after="120" w:afterAutospacing="0" w:line="360" w:lineRule="auto"/>
      <w:jc w:val="left"/>
      <w:outlineLvl w:val="2"/>
    </w:pPr>
    <w:rPr>
      <w:rFonts w:ascii="Times New Roman" w:hAnsi="Times New Roman" w:eastAsia="宋体" w:cs="Times New Roman"/>
      <w:b/>
      <w:sz w:val="24"/>
    </w:rPr>
  </w:style>
  <w:style w:type="paragraph" w:styleId="6">
    <w:name w:val="heading 4"/>
    <w:next w:val="1"/>
    <w:semiHidden/>
    <w:unhideWhenUsed/>
    <w:qFormat/>
    <w:uiPriority w:val="9"/>
    <w:pPr>
      <w:keepNext w:val="0"/>
      <w:keepLines w:val="0"/>
      <w:widowControl w:val="0"/>
      <w:spacing w:beforeAutospacing="0" w:after="120" w:afterAutospacing="0" w:line="360" w:lineRule="auto"/>
      <w:outlineLvl w:val="3"/>
    </w:pPr>
    <w:rPr>
      <w:rFonts w:ascii="Times New Roman" w:hAnsi="Times New Roman" w:eastAsia="宋体" w:cs="Times New Roman"/>
      <w:sz w:val="24"/>
    </w:rPr>
  </w:style>
  <w:style w:type="paragraph" w:styleId="7">
    <w:name w:val="heading 5"/>
    <w:next w:val="1"/>
    <w:semiHidden/>
    <w:unhideWhenUsed/>
    <w:qFormat/>
    <w:uiPriority w:val="9"/>
    <w:pPr>
      <w:keepNext w:val="0"/>
      <w:keepLines w:val="0"/>
      <w:widowControl w:val="0"/>
      <w:spacing w:beforeLines="0" w:beforeAutospacing="0" w:after="120" w:afterLines="0" w:afterAutospacing="0" w:line="440" w:lineRule="exact"/>
      <w:jc w:val="left"/>
      <w:outlineLvl w:val="4"/>
    </w:pPr>
    <w:rPr>
      <w:rFonts w:ascii="Times New Roman" w:hAnsi="Times New Roman" w:eastAsia="宋体" w:cs="Times New Roman"/>
      <w:sz w:val="24"/>
    </w:rPr>
  </w:style>
  <w:style w:type="paragraph" w:styleId="8">
    <w:name w:val="heading 6"/>
    <w:next w:val="1"/>
    <w:semiHidden/>
    <w:unhideWhenUsed/>
    <w:qFormat/>
    <w:uiPriority w:val="9"/>
    <w:pPr>
      <w:keepNext w:val="0"/>
      <w:keepLines w:val="0"/>
      <w:widowControl w:val="0"/>
      <w:spacing w:beforeLines="0" w:beforeAutospacing="0" w:after="120" w:afterLines="0" w:afterAutospacing="0" w:line="360" w:lineRule="auto"/>
      <w:jc w:val="left"/>
      <w:outlineLvl w:val="5"/>
    </w:pPr>
    <w:rPr>
      <w:rFonts w:ascii="Times New Roman" w:hAnsi="Times New Roman" w:eastAsia="宋体" w:cs="Times New Roman"/>
      <w:sz w:val="24"/>
    </w:rPr>
  </w:style>
  <w:style w:type="paragraph" w:styleId="9">
    <w:name w:val="heading 7"/>
    <w:next w:val="1"/>
    <w:semiHidden/>
    <w:unhideWhenUsed/>
    <w:qFormat/>
    <w:uiPriority w:val="9"/>
    <w:pPr>
      <w:keepNext w:val="0"/>
      <w:keepLines w:val="0"/>
      <w:widowControl w:val="0"/>
      <w:spacing w:beforeLines="0" w:beforeAutospacing="0" w:after="120" w:afterLines="0" w:afterAutospacing="0" w:line="360" w:lineRule="auto"/>
      <w:jc w:val="left"/>
      <w:outlineLvl w:val="6"/>
    </w:pPr>
    <w:rPr>
      <w:rFonts w:ascii="Times New Roman" w:hAnsi="Times New Roman" w:eastAsia="宋体" w:cs="Times New Roman"/>
      <w:sz w:val="24"/>
    </w:rPr>
  </w:style>
  <w:style w:type="paragraph" w:styleId="10">
    <w:name w:val="heading 8"/>
    <w:next w:val="1"/>
    <w:semiHidden/>
    <w:unhideWhenUsed/>
    <w:qFormat/>
    <w:uiPriority w:val="9"/>
    <w:pPr>
      <w:keepNext w:val="0"/>
      <w:keepLines w:val="0"/>
      <w:widowControl w:val="0"/>
      <w:spacing w:beforeLines="0" w:beforeAutospacing="0" w:after="120" w:afterLines="0" w:afterAutospacing="0" w:line="360" w:lineRule="auto"/>
      <w:jc w:val="left"/>
      <w:outlineLvl w:val="7"/>
    </w:pPr>
    <w:rPr>
      <w:rFonts w:ascii="Times New Roman" w:hAnsi="Times New Roman" w:eastAsia="宋体" w:cs="Times New Roman"/>
      <w:sz w:val="24"/>
    </w:rPr>
  </w:style>
  <w:style w:type="paragraph" w:styleId="11">
    <w:name w:val="heading 9"/>
    <w:next w:val="1"/>
    <w:semiHidden/>
    <w:unhideWhenUsed/>
    <w:qFormat/>
    <w:uiPriority w:val="9"/>
    <w:pPr>
      <w:keepNext w:val="0"/>
      <w:keepLines w:val="0"/>
      <w:widowControl w:val="0"/>
      <w:spacing w:beforeLines="0" w:beforeAutospacing="0" w:after="120" w:afterLines="0" w:afterAutospacing="0" w:line="360" w:lineRule="auto"/>
      <w:jc w:val="left"/>
      <w:outlineLvl w:val="8"/>
    </w:pPr>
    <w:rPr>
      <w:rFonts w:ascii="Times New Roman" w:hAnsi="Times New Roman" w:eastAsia="宋体" w:cs="Times New Roman"/>
      <w:sz w:val="24"/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55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contextualSpacing/>
    </w:pPr>
  </w:style>
  <w:style w:type="paragraph" w:styleId="14">
    <w:name w:val="List Number"/>
    <w:basedOn w:val="1"/>
    <w:unhideWhenUsed/>
    <w:qFormat/>
    <w:uiPriority w:val="99"/>
    <w:p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874CB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contextualSpacing/>
    </w:pPr>
  </w:style>
  <w:style w:type="paragraph" w:styleId="17">
    <w:name w:val="Body Text 3"/>
    <w:basedOn w:val="1"/>
    <w:link w:val="135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contextualSpacing/>
    </w:pPr>
  </w:style>
  <w:style w:type="paragraph" w:styleId="19">
    <w:name w:val="Body Text"/>
    <w:link w:val="162"/>
    <w:unhideWhenUsed/>
    <w:qFormat/>
    <w:uiPriority w:val="99"/>
    <w:pPr>
      <w:widowControl w:val="0"/>
      <w:spacing w:after="120" w:afterAutospacing="0" w:line="360" w:lineRule="auto"/>
      <w:ind w:firstLine="420" w:firstLineChars="200"/>
    </w:pPr>
    <w:rPr>
      <w:rFonts w:ascii="Times New Roman" w:hAnsi="Times New Roman" w:eastAsia="宋体" w:cs="Times New Roman"/>
      <w:sz w:val="24"/>
    </w:rPr>
  </w:style>
  <w:style w:type="paragraph" w:styleId="20">
    <w:name w:val="List Number 3"/>
    <w:basedOn w:val="1"/>
    <w:unhideWhenUsed/>
    <w:qFormat/>
    <w:uiPriority w:val="99"/>
    <w:p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contextualSpacing/>
    </w:pPr>
  </w:style>
  <w:style w:type="paragraph" w:styleId="24">
    <w:name w:val="footer"/>
    <w:basedOn w:val="1"/>
    <w:link w:val="13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4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next w:val="1"/>
    <w:link w:val="153"/>
    <w:qFormat/>
    <w:uiPriority w:val="11"/>
    <w:pPr>
      <w:widowControl w:val="0"/>
      <w:spacing w:beforeLines="0" w:beforeAutospacing="0" w:after="240" w:afterLines="0" w:afterAutospacing="0" w:line="240" w:lineRule="auto"/>
      <w:jc w:val="center"/>
      <w:outlineLvl w:val="9"/>
    </w:pPr>
    <w:rPr>
      <w:rFonts w:ascii="Times New Roman" w:hAnsi="Times New Roman" w:eastAsia="宋体" w:cs="Times New Roman"/>
      <w:kern w:val="28"/>
      <w:sz w:val="21"/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61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next w:val="1"/>
    <w:qFormat/>
    <w:uiPriority w:val="10"/>
    <w:pPr>
      <w:spacing w:before="240" w:beforeAutospacing="0" w:after="240" w:afterAutospacing="0" w:line="240" w:lineRule="auto"/>
      <w:jc w:val="center"/>
      <w:outlineLvl w:val="9"/>
    </w:pPr>
    <w:rPr>
      <w:rFonts w:ascii="Times New Roman" w:hAnsi="Times New Roman" w:eastAsia="宋体" w:cs="Times New Roman"/>
      <w:b/>
      <w:sz w:val="3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2E54A1" w:themeColor="accent1" w:themeShade="BF"/>
    </w:rPr>
    <w:tblPr>
      <w:tblBorders>
        <w:top w:val="single" w:color="4874CB" w:themeColor="accent1" w:sz="8" w:space="0"/>
        <w:bottom w:val="single" w:color="4874CB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874CB" w:themeColor="accent1" w:sz="8" w:space="0"/>
          <w:left w:val="nil"/>
          <w:bottom w:val="single" w:color="4874CB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874CB" w:themeColor="accent1" w:sz="8" w:space="0"/>
          <w:left w:val="nil"/>
          <w:bottom w:val="single" w:color="4874CB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C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CF2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C65F10" w:themeColor="accent2" w:themeShade="BF"/>
    </w:rPr>
    <w:tblPr>
      <w:tblBorders>
        <w:top w:val="single" w:color="EE822F" w:themeColor="accent2" w:sz="8" w:space="0"/>
        <w:bottom w:val="single" w:color="EE822F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E822F" w:themeColor="accent2" w:sz="8" w:space="0"/>
          <w:left w:val="nil"/>
          <w:bottom w:val="single" w:color="EE822F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E822F" w:themeColor="accent2" w:sz="8" w:space="0"/>
          <w:left w:val="nil"/>
          <w:bottom w:val="single" w:color="EE822F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0CB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B68C02" w:themeColor="accent3" w:themeShade="BF"/>
    </w:rPr>
    <w:tblPr>
      <w:tblBorders>
        <w:top w:val="single" w:color="F2BA02" w:themeColor="accent3" w:sz="8" w:space="0"/>
        <w:bottom w:val="single" w:color="F2BA02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2BA02" w:themeColor="accent3" w:sz="8" w:space="0"/>
          <w:left w:val="nil"/>
          <w:bottom w:val="single" w:color="F2BA02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2BA02" w:themeColor="accent3" w:sz="8" w:space="0"/>
          <w:left w:val="nil"/>
          <w:bottom w:val="single" w:color="F2BA02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FB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FBD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588E32" w:themeColor="accent4" w:themeShade="BF"/>
    </w:rPr>
    <w:tblPr>
      <w:tblBorders>
        <w:top w:val="single" w:color="75BD42" w:themeColor="accent4" w:sz="8" w:space="0"/>
        <w:bottom w:val="single" w:color="75BD4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5BD42" w:themeColor="accent4" w:sz="8" w:space="0"/>
          <w:left w:val="nil"/>
          <w:bottom w:val="single" w:color="75BD4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5BD42" w:themeColor="accent4" w:sz="8" w:space="0"/>
          <w:left w:val="nil"/>
          <w:bottom w:val="single" w:color="75BD4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D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D0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249087" w:themeColor="accent5" w:themeShade="BF"/>
    </w:rPr>
    <w:tblPr>
      <w:tblBorders>
        <w:top w:val="single" w:color="30C0B4" w:themeColor="accent5" w:sz="8" w:space="0"/>
        <w:bottom w:val="single" w:color="30C0B4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30C0B4" w:themeColor="accent5" w:sz="8" w:space="0"/>
          <w:left w:val="nil"/>
          <w:bottom w:val="single" w:color="30C0B4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30C0B4" w:themeColor="accent5" w:sz="8" w:space="0"/>
          <w:left w:val="nil"/>
          <w:bottom w:val="single" w:color="30C0B4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1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F1EE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C81D31" w:themeColor="accent6" w:themeShade="BF"/>
    </w:rPr>
    <w:tblPr>
      <w:tblBorders>
        <w:top w:val="single" w:color="E54C5E" w:themeColor="accent6" w:sz="8" w:space="0"/>
        <w:bottom w:val="single" w:color="E54C5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54C5E" w:themeColor="accent6" w:sz="8" w:space="0"/>
          <w:left w:val="nil"/>
          <w:bottom w:val="single" w:color="E54C5E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54C5E" w:themeColor="accent6" w:sz="8" w:space="0"/>
          <w:left w:val="nil"/>
          <w:bottom w:val="single" w:color="E54C5E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874CB" w:themeColor="accent1" w:sz="8" w:space="0"/>
        <w:left w:val="single" w:color="4874CB" w:themeColor="accent1" w:sz="8" w:space="0"/>
        <w:bottom w:val="single" w:color="4874CB" w:themeColor="accent1" w:sz="8" w:space="0"/>
        <w:right w:val="single" w:color="4874CB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874C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874CB" w:themeColor="accent1" w:sz="6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</w:tcBorders>
      </w:tcPr>
    </w:tblStylePr>
    <w:tblStylePr w:type="band1Horz">
      <w:tblPr/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EE822F" w:themeColor="accent2" w:sz="8" w:space="0"/>
        <w:left w:val="single" w:color="EE822F" w:themeColor="accent2" w:sz="8" w:space="0"/>
        <w:bottom w:val="single" w:color="EE822F" w:themeColor="accent2" w:sz="8" w:space="0"/>
        <w:right w:val="single" w:color="EE822F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E822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E822F" w:themeColor="accent2" w:sz="6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</w:tcBorders>
      </w:tcPr>
    </w:tblStylePr>
    <w:tblStylePr w:type="band1Horz"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F2BA02" w:themeColor="accent3" w:sz="8" w:space="0"/>
        <w:left w:val="single" w:color="F2BA02" w:themeColor="accent3" w:sz="8" w:space="0"/>
        <w:bottom w:val="single" w:color="F2BA02" w:themeColor="accent3" w:sz="8" w:space="0"/>
        <w:right w:val="single" w:color="F2BA02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2BA0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2BA02" w:themeColor="accent3" w:sz="6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</w:tcBorders>
      </w:tcPr>
    </w:tblStylePr>
    <w:tblStylePr w:type="band1Horz"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75BD42" w:themeColor="accent4" w:sz="8" w:space="0"/>
        <w:left w:val="single" w:color="75BD42" w:themeColor="accent4" w:sz="8" w:space="0"/>
        <w:bottom w:val="single" w:color="75BD42" w:themeColor="accent4" w:sz="8" w:space="0"/>
        <w:right w:val="single" w:color="75BD4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5BD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5BD42" w:themeColor="accent4" w:sz="6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</w:tcBorders>
      </w:tcPr>
    </w:tblStylePr>
    <w:tblStylePr w:type="band1Horz"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30C0B4" w:themeColor="accent5" w:sz="8" w:space="0"/>
        <w:left w:val="single" w:color="30C0B4" w:themeColor="accent5" w:sz="8" w:space="0"/>
        <w:bottom w:val="single" w:color="30C0B4" w:themeColor="accent5" w:sz="8" w:space="0"/>
        <w:right w:val="single" w:color="30C0B4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0C0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0C0B4" w:themeColor="accent5" w:sz="6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</w:tcBorders>
      </w:tcPr>
    </w:tblStylePr>
    <w:tblStylePr w:type="band1Horz"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E54C5E" w:themeColor="accent6" w:sz="8" w:space="0"/>
        <w:left w:val="single" w:color="E54C5E" w:themeColor="accent6" w:sz="8" w:space="0"/>
        <w:bottom w:val="single" w:color="E54C5E" w:themeColor="accent6" w:sz="8" w:space="0"/>
        <w:right w:val="single" w:color="E54C5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54C5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54C5E" w:themeColor="accent6" w:sz="6" w:space="0"/>
          <w:left w:val="single" w:color="E54C5E" w:themeColor="accent6" w:sz="8" w:space="0"/>
          <w:bottom w:val="single" w:color="E54C5E" w:themeColor="accent6" w:sz="8" w:space="0"/>
          <w:right w:val="single" w:color="E54C5E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54C5E" w:themeColor="accent6" w:sz="8" w:space="0"/>
          <w:left w:val="single" w:color="E54C5E" w:themeColor="accent6" w:sz="8" w:space="0"/>
          <w:bottom w:val="single" w:color="E54C5E" w:themeColor="accent6" w:sz="8" w:space="0"/>
          <w:right w:val="single" w:color="E54C5E" w:themeColor="accent6" w:sz="8" w:space="0"/>
        </w:tcBorders>
      </w:tcPr>
    </w:tblStylePr>
    <w:tblStylePr w:type="band1Horz">
      <w:tblPr/>
      <w:tcPr>
        <w:tcBorders>
          <w:top w:val="single" w:color="E54C5E" w:themeColor="accent6" w:sz="8" w:space="0"/>
          <w:left w:val="single" w:color="E54C5E" w:themeColor="accent6" w:sz="8" w:space="0"/>
          <w:bottom w:val="single" w:color="E54C5E" w:themeColor="accent6" w:sz="8" w:space="0"/>
          <w:right w:val="single" w:color="E54C5E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874CB" w:themeColor="accent1" w:sz="8" w:space="0"/>
        <w:left w:val="single" w:color="4874CB" w:themeColor="accent1" w:sz="8" w:space="0"/>
        <w:bottom w:val="single" w:color="4874CB" w:themeColor="accent1" w:sz="8" w:space="0"/>
        <w:right w:val="single" w:color="4874CB" w:themeColor="accent1" w:sz="8" w:space="0"/>
        <w:insideH w:val="single" w:color="4874CB" w:themeColor="accent1" w:sz="8" w:space="0"/>
        <w:insideV w:val="single" w:color="4874CB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18" w:space="0"/>
          <w:right w:val="single" w:color="4874CB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874CB" w:themeColor="accent1" w:sz="6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</w:tcBorders>
      </w:tcPr>
    </w:tblStylePr>
    <w:tblStylePr w:type="band1Vert">
      <w:tblPr/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</w:tcBorders>
        <w:shd w:val="clear" w:color="auto" w:fill="D1DCF2" w:themeFill="accent1" w:themeFillTint="3F"/>
      </w:tcPr>
    </w:tblStylePr>
    <w:tblStylePr w:type="band1Horz">
      <w:tblPr/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  <w:insideV w:val="single" w:sz="8" w:space="0"/>
        </w:tcBorders>
        <w:shd w:val="clear" w:color="auto" w:fill="D1DCF2" w:themeFill="accent1" w:themeFillTint="3F"/>
      </w:tcPr>
    </w:tblStylePr>
    <w:tblStylePr w:type="band2Horz">
      <w:tblPr/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EE822F" w:themeColor="accent2" w:sz="8" w:space="0"/>
        <w:left w:val="single" w:color="EE822F" w:themeColor="accent2" w:sz="8" w:space="0"/>
        <w:bottom w:val="single" w:color="EE822F" w:themeColor="accent2" w:sz="8" w:space="0"/>
        <w:right w:val="single" w:color="EE822F" w:themeColor="accent2" w:sz="8" w:space="0"/>
        <w:insideH w:val="single" w:color="EE822F" w:themeColor="accent2" w:sz="8" w:space="0"/>
        <w:insideV w:val="single" w:color="EE822F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18" w:space="0"/>
          <w:right w:val="single" w:color="EE822F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E822F" w:themeColor="accent2" w:sz="6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</w:tcBorders>
      </w:tcPr>
    </w:tblStylePr>
    <w:tblStylePr w:type="band1Vert"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</w:tcBorders>
        <w:shd w:val="clear" w:color="auto" w:fill="FAE0CB" w:themeFill="accent2" w:themeFillTint="3F"/>
      </w:tcPr>
    </w:tblStylePr>
    <w:tblStylePr w:type="band1Horz"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  <w:insideV w:val="single" w:sz="8" w:space="0"/>
        </w:tcBorders>
        <w:shd w:val="clear" w:color="auto" w:fill="FAE0CB" w:themeFill="accent2" w:themeFillTint="3F"/>
      </w:tcPr>
    </w:tblStylePr>
    <w:tblStylePr w:type="band2Horz"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F2BA02" w:themeColor="accent3" w:sz="8" w:space="0"/>
        <w:left w:val="single" w:color="F2BA02" w:themeColor="accent3" w:sz="8" w:space="0"/>
        <w:bottom w:val="single" w:color="F2BA02" w:themeColor="accent3" w:sz="8" w:space="0"/>
        <w:right w:val="single" w:color="F2BA02" w:themeColor="accent3" w:sz="8" w:space="0"/>
        <w:insideH w:val="single" w:color="F2BA02" w:themeColor="accent3" w:sz="8" w:space="0"/>
        <w:insideV w:val="single" w:color="F2BA02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18" w:space="0"/>
          <w:right w:val="single" w:color="F2BA02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2BA02" w:themeColor="accent3" w:sz="6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</w:tcBorders>
      </w:tcPr>
    </w:tblStylePr>
    <w:tblStylePr w:type="band1Vert"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</w:tcBorders>
        <w:shd w:val="clear" w:color="auto" w:fill="FEEFBD" w:themeFill="accent3" w:themeFillTint="3F"/>
      </w:tcPr>
    </w:tblStylePr>
    <w:tblStylePr w:type="band1Horz"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  <w:insideV w:val="single" w:sz="8" w:space="0"/>
        </w:tcBorders>
        <w:shd w:val="clear" w:color="auto" w:fill="FEEFBD" w:themeFill="accent3" w:themeFillTint="3F"/>
      </w:tcPr>
    </w:tblStylePr>
    <w:tblStylePr w:type="band2Horz"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75BD42" w:themeColor="accent4" w:sz="8" w:space="0"/>
        <w:left w:val="single" w:color="75BD42" w:themeColor="accent4" w:sz="8" w:space="0"/>
        <w:bottom w:val="single" w:color="75BD42" w:themeColor="accent4" w:sz="8" w:space="0"/>
        <w:right w:val="single" w:color="75BD42" w:themeColor="accent4" w:sz="8" w:space="0"/>
        <w:insideH w:val="single" w:color="75BD42" w:themeColor="accent4" w:sz="8" w:space="0"/>
        <w:insideV w:val="single" w:color="75BD4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18" w:space="0"/>
          <w:right w:val="single" w:color="75BD4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5BD42" w:themeColor="accent4" w:sz="6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</w:tcBorders>
      </w:tcPr>
    </w:tblStylePr>
    <w:tblStylePr w:type="band1Vert"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</w:tcBorders>
        <w:shd w:val="clear" w:color="auto" w:fill="DCEED0" w:themeFill="accent4" w:themeFillTint="3F"/>
      </w:tcPr>
    </w:tblStylePr>
    <w:tblStylePr w:type="band1Horz"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  <w:insideV w:val="single" w:sz="8" w:space="0"/>
        </w:tcBorders>
        <w:shd w:val="clear" w:color="auto" w:fill="DCEED0" w:themeFill="accent4" w:themeFillTint="3F"/>
      </w:tcPr>
    </w:tblStylePr>
    <w:tblStylePr w:type="band2Horz"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30C0B4" w:themeColor="accent5" w:sz="8" w:space="0"/>
        <w:left w:val="single" w:color="30C0B4" w:themeColor="accent5" w:sz="8" w:space="0"/>
        <w:bottom w:val="single" w:color="30C0B4" w:themeColor="accent5" w:sz="8" w:space="0"/>
        <w:right w:val="single" w:color="30C0B4" w:themeColor="accent5" w:sz="8" w:space="0"/>
        <w:insideH w:val="single" w:color="30C0B4" w:themeColor="accent5" w:sz="8" w:space="0"/>
        <w:insideV w:val="single" w:color="30C0B4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18" w:space="0"/>
          <w:right w:val="single" w:color="30C0B4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30C0B4" w:themeColor="accent5" w:sz="6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</w:tcBorders>
      </w:tcPr>
    </w:tblStylePr>
    <w:tblStylePr w:type="band1Vert"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</w:tcBorders>
        <w:shd w:val="clear" w:color="auto" w:fill="C9F1EE" w:themeFill="accent5" w:themeFillTint="3F"/>
      </w:tcPr>
    </w:tblStylePr>
    <w:tblStylePr w:type="band1Horz"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  <w:insideV w:val="single" w:sz="8" w:space="0"/>
        </w:tcBorders>
        <w:shd w:val="clear" w:color="auto" w:fill="C9F1EE" w:themeFill="accent5" w:themeFillTint="3F"/>
      </w:tcPr>
    </w:tblStylePr>
    <w:tblStylePr w:type="band2Horz"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E54C5E" w:themeColor="accent6" w:sz="8" w:space="0"/>
        <w:left w:val="single" w:color="E54C5E" w:themeColor="accent6" w:sz="8" w:space="0"/>
        <w:bottom w:val="single" w:color="E54C5E" w:themeColor="accent6" w:sz="8" w:space="0"/>
        <w:right w:val="single" w:color="E54C5E" w:themeColor="accent6" w:sz="8" w:space="0"/>
        <w:insideH w:val="single" w:color="E54C5E" w:themeColor="accent6" w:sz="8" w:space="0"/>
        <w:insideV w:val="single" w:color="E54C5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54C5E" w:themeColor="accent6" w:sz="8" w:space="0"/>
          <w:left w:val="single" w:color="E54C5E" w:themeColor="accent6" w:sz="8" w:space="0"/>
          <w:bottom w:val="single" w:color="E54C5E" w:themeColor="accent6" w:sz="18" w:space="0"/>
          <w:right w:val="single" w:color="E54C5E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54C5E" w:themeColor="accent6" w:sz="6" w:space="0"/>
          <w:left w:val="single" w:color="E54C5E" w:themeColor="accent6" w:sz="8" w:space="0"/>
          <w:bottom w:val="single" w:color="E54C5E" w:themeColor="accent6" w:sz="8" w:space="0"/>
          <w:right w:val="single" w:color="E54C5E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54C5E" w:themeColor="accent6" w:sz="8" w:space="0"/>
          <w:left w:val="single" w:color="E54C5E" w:themeColor="accent6" w:sz="8" w:space="0"/>
          <w:bottom w:val="single" w:color="E54C5E" w:themeColor="accent6" w:sz="8" w:space="0"/>
          <w:right w:val="single" w:color="E54C5E" w:themeColor="accent6" w:sz="8" w:space="0"/>
        </w:tcBorders>
      </w:tcPr>
    </w:tblStylePr>
    <w:tblStylePr w:type="band1Vert">
      <w:tblPr/>
      <w:tcPr>
        <w:tcBorders>
          <w:top w:val="single" w:color="E54C5E" w:themeColor="accent6" w:sz="8" w:space="0"/>
          <w:left w:val="single" w:color="E54C5E" w:themeColor="accent6" w:sz="8" w:space="0"/>
          <w:bottom w:val="single" w:color="E54C5E" w:themeColor="accent6" w:sz="8" w:space="0"/>
          <w:right w:val="single" w:color="E54C5E" w:themeColor="accent6" w:sz="8" w:space="0"/>
        </w:tcBorders>
        <w:shd w:val="clear" w:color="auto" w:fill="F8D2D7" w:themeFill="accent6" w:themeFillTint="3F"/>
      </w:tcPr>
    </w:tblStylePr>
    <w:tblStylePr w:type="band1Horz">
      <w:tblPr/>
      <w:tcPr>
        <w:tcBorders>
          <w:top w:val="single" w:color="E54C5E" w:themeColor="accent6" w:sz="8" w:space="0"/>
          <w:left w:val="single" w:color="E54C5E" w:themeColor="accent6" w:sz="8" w:space="0"/>
          <w:bottom w:val="single" w:color="E54C5E" w:themeColor="accent6" w:sz="8" w:space="0"/>
          <w:right w:val="single" w:color="E54C5E" w:themeColor="accent6" w:sz="8" w:space="0"/>
          <w:insideV w:val="single" w:sz="8" w:space="0"/>
        </w:tcBorders>
        <w:shd w:val="clear" w:color="auto" w:fill="F8D2D7" w:themeFill="accent6" w:themeFillTint="3F"/>
      </w:tcPr>
    </w:tblStylePr>
    <w:tblStylePr w:type="band2Horz">
      <w:tblPr/>
      <w:tcPr>
        <w:tcBorders>
          <w:top w:val="single" w:color="E54C5E" w:themeColor="accent6" w:sz="8" w:space="0"/>
          <w:left w:val="single" w:color="E54C5E" w:themeColor="accent6" w:sz="8" w:space="0"/>
          <w:bottom w:val="single" w:color="E54C5E" w:themeColor="accent6" w:sz="8" w:space="0"/>
          <w:right w:val="single" w:color="E54C5E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596D8" w:themeColor="accent1" w:themeTint="BF" w:sz="8" w:space="0"/>
        <w:left w:val="single" w:color="7596D8" w:themeColor="accent1" w:themeTint="BF" w:sz="8" w:space="0"/>
        <w:bottom w:val="single" w:color="7596D8" w:themeColor="accent1" w:themeTint="BF" w:sz="8" w:space="0"/>
        <w:right w:val="single" w:color="7596D8" w:themeColor="accent1" w:themeTint="BF" w:sz="8" w:space="0"/>
        <w:insideH w:val="single" w:color="7596D8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596D8" w:themeColor="accent1" w:themeTint="BF" w:sz="8" w:space="0"/>
          <w:left w:val="single" w:color="7596D8" w:themeColor="accent1" w:themeTint="BF" w:sz="8" w:space="0"/>
          <w:bottom w:val="single" w:color="7596D8" w:themeColor="accent1" w:themeTint="BF" w:sz="8" w:space="0"/>
          <w:right w:val="single" w:color="7596D8" w:themeColor="accent1" w:themeTint="BF" w:sz="8" w:space="0"/>
          <w:insideH w:val="nil"/>
          <w:insideV w:val="nil"/>
        </w:tcBorders>
        <w:shd w:val="clear" w:color="auto" w:fill="4874C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596D8" w:themeColor="accent1" w:themeTint="BF" w:sz="6" w:space="0"/>
          <w:left w:val="single" w:color="7596D8" w:themeColor="accent1" w:themeTint="BF" w:sz="8" w:space="0"/>
          <w:bottom w:val="single" w:color="7596D8" w:themeColor="accent1" w:themeTint="BF" w:sz="8" w:space="0"/>
          <w:right w:val="single" w:color="7596D8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C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DC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F2A163" w:themeColor="accent2" w:themeTint="BF" w:sz="8" w:space="0"/>
        <w:left w:val="single" w:color="F2A163" w:themeColor="accent2" w:themeTint="BF" w:sz="8" w:space="0"/>
        <w:bottom w:val="single" w:color="F2A163" w:themeColor="accent2" w:themeTint="BF" w:sz="8" w:space="0"/>
        <w:right w:val="single" w:color="F2A163" w:themeColor="accent2" w:themeTint="BF" w:sz="8" w:space="0"/>
        <w:insideH w:val="single" w:color="F2A163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2A163" w:themeColor="accent2" w:themeTint="BF" w:sz="8" w:space="0"/>
          <w:left w:val="single" w:color="F2A163" w:themeColor="accent2" w:themeTint="BF" w:sz="8" w:space="0"/>
          <w:bottom w:val="single" w:color="F2A163" w:themeColor="accent2" w:themeTint="BF" w:sz="8" w:space="0"/>
          <w:right w:val="single" w:color="F2A163" w:themeColor="accent2" w:themeTint="BF" w:sz="8" w:space="0"/>
          <w:insideH w:val="nil"/>
          <w:insideV w:val="nil"/>
        </w:tcBorders>
        <w:shd w:val="clear" w:color="auto" w:fill="EE822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2A163" w:themeColor="accent2" w:themeTint="BF" w:sz="6" w:space="0"/>
          <w:left w:val="single" w:color="F2A163" w:themeColor="accent2" w:themeTint="BF" w:sz="8" w:space="0"/>
          <w:bottom w:val="single" w:color="F2A163" w:themeColor="accent2" w:themeTint="BF" w:sz="8" w:space="0"/>
          <w:right w:val="single" w:color="F2A163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0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FDCF39" w:themeColor="accent3" w:themeTint="BF" w:sz="8" w:space="0"/>
        <w:left w:val="single" w:color="FDCF39" w:themeColor="accent3" w:themeTint="BF" w:sz="8" w:space="0"/>
        <w:bottom w:val="single" w:color="FDCF39" w:themeColor="accent3" w:themeTint="BF" w:sz="8" w:space="0"/>
        <w:right w:val="single" w:color="FDCF39" w:themeColor="accent3" w:themeTint="BF" w:sz="8" w:space="0"/>
        <w:insideH w:val="single" w:color="FDCF39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DCF39" w:themeColor="accent3" w:themeTint="BF" w:sz="8" w:space="0"/>
          <w:left w:val="single" w:color="FDCF39" w:themeColor="accent3" w:themeTint="BF" w:sz="8" w:space="0"/>
          <w:bottom w:val="single" w:color="FDCF39" w:themeColor="accent3" w:themeTint="BF" w:sz="8" w:space="0"/>
          <w:right w:val="single" w:color="FDCF39" w:themeColor="accent3" w:themeTint="BF" w:sz="8" w:space="0"/>
          <w:insideH w:val="nil"/>
          <w:insideV w:val="nil"/>
        </w:tcBorders>
        <w:shd w:val="clear" w:color="auto" w:fill="F2BA0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DCF39" w:themeColor="accent3" w:themeTint="BF" w:sz="6" w:space="0"/>
          <w:left w:val="single" w:color="FDCF39" w:themeColor="accent3" w:themeTint="BF" w:sz="8" w:space="0"/>
          <w:bottom w:val="single" w:color="FDCF39" w:themeColor="accent3" w:themeTint="BF" w:sz="8" w:space="0"/>
          <w:right w:val="single" w:color="FDCF39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FB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FB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7CD71" w:themeColor="accent4" w:themeTint="BF" w:sz="8" w:space="0"/>
        <w:left w:val="single" w:color="97CD71" w:themeColor="accent4" w:themeTint="BF" w:sz="8" w:space="0"/>
        <w:bottom w:val="single" w:color="97CD71" w:themeColor="accent4" w:themeTint="BF" w:sz="8" w:space="0"/>
        <w:right w:val="single" w:color="97CD71" w:themeColor="accent4" w:themeTint="BF" w:sz="8" w:space="0"/>
        <w:insideH w:val="single" w:color="97CD71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7CD71" w:themeColor="accent4" w:themeTint="BF" w:sz="8" w:space="0"/>
          <w:left w:val="single" w:color="97CD71" w:themeColor="accent4" w:themeTint="BF" w:sz="8" w:space="0"/>
          <w:bottom w:val="single" w:color="97CD71" w:themeColor="accent4" w:themeTint="BF" w:sz="8" w:space="0"/>
          <w:right w:val="single" w:color="97CD71" w:themeColor="accent4" w:themeTint="BF" w:sz="8" w:space="0"/>
          <w:insideH w:val="nil"/>
          <w:insideV w:val="nil"/>
        </w:tcBorders>
        <w:shd w:val="clear" w:color="auto" w:fill="75BD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7CD71" w:themeColor="accent4" w:themeTint="BF" w:sz="6" w:space="0"/>
          <w:left w:val="single" w:color="97CD71" w:themeColor="accent4" w:themeTint="BF" w:sz="8" w:space="0"/>
          <w:bottom w:val="single" w:color="97CD71" w:themeColor="accent4" w:themeTint="BF" w:sz="8" w:space="0"/>
          <w:right w:val="single" w:color="97CD71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D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D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5DD6CC" w:themeColor="accent5" w:themeTint="BF" w:sz="8" w:space="0"/>
        <w:left w:val="single" w:color="5DD6CC" w:themeColor="accent5" w:themeTint="BF" w:sz="8" w:space="0"/>
        <w:bottom w:val="single" w:color="5DD6CC" w:themeColor="accent5" w:themeTint="BF" w:sz="8" w:space="0"/>
        <w:right w:val="single" w:color="5DD6CC" w:themeColor="accent5" w:themeTint="BF" w:sz="8" w:space="0"/>
        <w:insideH w:val="single" w:color="5DD6CC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5DD6CC" w:themeColor="accent5" w:themeTint="BF" w:sz="8" w:space="0"/>
          <w:left w:val="single" w:color="5DD6CC" w:themeColor="accent5" w:themeTint="BF" w:sz="8" w:space="0"/>
          <w:bottom w:val="single" w:color="5DD6CC" w:themeColor="accent5" w:themeTint="BF" w:sz="8" w:space="0"/>
          <w:right w:val="single" w:color="5DD6CC" w:themeColor="accent5" w:themeTint="BF" w:sz="8" w:space="0"/>
          <w:insideH w:val="nil"/>
          <w:insideV w:val="nil"/>
        </w:tcBorders>
        <w:shd w:val="clear" w:color="auto" w:fill="30C0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DD6CC" w:themeColor="accent5" w:themeTint="BF" w:sz="6" w:space="0"/>
          <w:left w:val="single" w:color="5DD6CC" w:themeColor="accent5" w:themeTint="BF" w:sz="8" w:space="0"/>
          <w:bottom w:val="single" w:color="5DD6CC" w:themeColor="accent5" w:themeTint="BF" w:sz="8" w:space="0"/>
          <w:right w:val="single" w:color="5DD6CC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F1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EB7886" w:themeColor="accent6" w:themeTint="BF" w:sz="8" w:space="0"/>
        <w:left w:val="single" w:color="EB7886" w:themeColor="accent6" w:themeTint="BF" w:sz="8" w:space="0"/>
        <w:bottom w:val="single" w:color="EB7886" w:themeColor="accent6" w:themeTint="BF" w:sz="8" w:space="0"/>
        <w:right w:val="single" w:color="EB7886" w:themeColor="accent6" w:themeTint="BF" w:sz="8" w:space="0"/>
        <w:insideH w:val="single" w:color="EB7886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EB7886" w:themeColor="accent6" w:themeTint="BF" w:sz="8" w:space="0"/>
          <w:left w:val="single" w:color="EB7886" w:themeColor="accent6" w:themeTint="BF" w:sz="8" w:space="0"/>
          <w:bottom w:val="single" w:color="EB7886" w:themeColor="accent6" w:themeTint="BF" w:sz="8" w:space="0"/>
          <w:right w:val="single" w:color="EB7886" w:themeColor="accent6" w:themeTint="BF" w:sz="8" w:space="0"/>
          <w:insideH w:val="nil"/>
          <w:insideV w:val="nil"/>
        </w:tcBorders>
        <w:shd w:val="clear" w:color="auto" w:fill="E54C5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B7886" w:themeColor="accent6" w:themeTint="BF" w:sz="6" w:space="0"/>
          <w:left w:val="single" w:color="EB7886" w:themeColor="accent6" w:themeTint="BF" w:sz="8" w:space="0"/>
          <w:bottom w:val="single" w:color="EB7886" w:themeColor="accent6" w:themeTint="BF" w:sz="8" w:space="0"/>
          <w:right w:val="single" w:color="EB788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2D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D2D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874C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874CB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874C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E822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E822F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822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2BA0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2BA02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BA0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5BD4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5BD4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4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30C0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30C0B4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0C0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54C5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54C5E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54C5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874CB" w:themeColor="accent1" w:sz="8" w:space="0"/>
        <w:bottom w:val="single" w:color="4874CB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874CB" w:themeColor="accent1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4874CB" w:themeColor="accent1" w:sz="8" w:space="0"/>
          <w:bottom w:val="single" w:color="4874CB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874CB" w:themeColor="accent1" w:sz="8" w:space="0"/>
          <w:bottom w:val="single" w:color="4874CB" w:themeColor="accent1" w:sz="8" w:space="0"/>
        </w:tcBorders>
      </w:tcPr>
    </w:tblStylePr>
    <w:tblStylePr w:type="band1Vert">
      <w:tblPr/>
      <w:tcPr>
        <w:shd w:val="clear" w:color="auto" w:fill="D1DCF2" w:themeFill="accent1" w:themeFillTint="3F"/>
      </w:tcPr>
    </w:tblStylePr>
    <w:tblStylePr w:type="band1Horz">
      <w:tblPr/>
      <w:tcPr>
        <w:shd w:val="clear" w:color="auto" w:fill="D1DCF2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E822F" w:themeColor="accent2" w:sz="8" w:space="0"/>
        <w:bottom w:val="single" w:color="EE822F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E822F" w:themeColor="accent2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EE822F" w:themeColor="accent2" w:sz="8" w:space="0"/>
          <w:bottom w:val="single" w:color="EE822F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E822F" w:themeColor="accent2" w:sz="8" w:space="0"/>
          <w:bottom w:val="single" w:color="EE822F" w:themeColor="accent2" w:sz="8" w:space="0"/>
        </w:tcBorders>
      </w:tcPr>
    </w:tblStylePr>
    <w:tblStylePr w:type="band1Vert">
      <w:tblPr/>
      <w:tcPr>
        <w:shd w:val="clear" w:color="auto" w:fill="FAE0CB" w:themeFill="accent2" w:themeFillTint="3F"/>
      </w:tcPr>
    </w:tblStylePr>
    <w:tblStylePr w:type="band1Horz">
      <w:tblPr/>
      <w:tcPr>
        <w:shd w:val="clear" w:color="auto" w:fill="FAE0CB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2BA02" w:themeColor="accent3" w:sz="8" w:space="0"/>
        <w:bottom w:val="single" w:color="F2BA02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2BA02" w:themeColor="accent3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F2BA02" w:themeColor="accent3" w:sz="8" w:space="0"/>
          <w:bottom w:val="single" w:color="F2BA02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2BA02" w:themeColor="accent3" w:sz="8" w:space="0"/>
          <w:bottom w:val="single" w:color="F2BA02" w:themeColor="accent3" w:sz="8" w:space="0"/>
        </w:tcBorders>
      </w:tcPr>
    </w:tblStylePr>
    <w:tblStylePr w:type="band1Vert">
      <w:tblPr/>
      <w:tcPr>
        <w:shd w:val="clear" w:color="auto" w:fill="FEEFBD" w:themeFill="accent3" w:themeFillTint="3F"/>
      </w:tcPr>
    </w:tblStylePr>
    <w:tblStylePr w:type="band1Horz">
      <w:tblPr/>
      <w:tcPr>
        <w:shd w:val="clear" w:color="auto" w:fill="FEEFBD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75BD42" w:themeColor="accent4" w:sz="8" w:space="0"/>
        <w:bottom w:val="single" w:color="75BD4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75BD42" w:themeColor="accent4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75BD42" w:themeColor="accent4" w:sz="8" w:space="0"/>
          <w:bottom w:val="single" w:color="75BD4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75BD42" w:themeColor="accent4" w:sz="8" w:space="0"/>
          <w:bottom w:val="single" w:color="75BD42" w:themeColor="accent4" w:sz="8" w:space="0"/>
        </w:tcBorders>
      </w:tcPr>
    </w:tblStylePr>
    <w:tblStylePr w:type="band1Vert">
      <w:tblPr/>
      <w:tcPr>
        <w:shd w:val="clear" w:color="auto" w:fill="DCEED0" w:themeFill="accent4" w:themeFillTint="3F"/>
      </w:tcPr>
    </w:tblStylePr>
    <w:tblStylePr w:type="band1Horz">
      <w:tblPr/>
      <w:tcPr>
        <w:shd w:val="clear" w:color="auto" w:fill="DCEED0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30C0B4" w:themeColor="accent5" w:sz="8" w:space="0"/>
        <w:bottom w:val="single" w:color="30C0B4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30C0B4" w:themeColor="accent5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30C0B4" w:themeColor="accent5" w:sz="8" w:space="0"/>
          <w:bottom w:val="single" w:color="30C0B4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30C0B4" w:themeColor="accent5" w:sz="8" w:space="0"/>
          <w:bottom w:val="single" w:color="30C0B4" w:themeColor="accent5" w:sz="8" w:space="0"/>
        </w:tcBorders>
      </w:tcPr>
    </w:tblStylePr>
    <w:tblStylePr w:type="band1Vert">
      <w:tblPr/>
      <w:tcPr>
        <w:shd w:val="clear" w:color="auto" w:fill="C9F1EE" w:themeFill="accent5" w:themeFillTint="3F"/>
      </w:tcPr>
    </w:tblStylePr>
    <w:tblStylePr w:type="band1Horz">
      <w:tblPr/>
      <w:tcPr>
        <w:shd w:val="clear" w:color="auto" w:fill="C9F1EE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54C5E" w:themeColor="accent6" w:sz="8" w:space="0"/>
        <w:bottom w:val="single" w:color="E54C5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54C5E" w:themeColor="accent6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E54C5E" w:themeColor="accent6" w:sz="8" w:space="0"/>
          <w:bottom w:val="single" w:color="E54C5E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54C5E" w:themeColor="accent6" w:sz="8" w:space="0"/>
          <w:bottom w:val="single" w:color="E54C5E" w:themeColor="accent6" w:sz="8" w:space="0"/>
        </w:tcBorders>
      </w:tcPr>
    </w:tblStylePr>
    <w:tblStylePr w:type="band1Vert">
      <w:tblPr/>
      <w:tcPr>
        <w:shd w:val="clear" w:color="auto" w:fill="F8D2D7" w:themeFill="accent6" w:themeFillTint="3F"/>
      </w:tcPr>
    </w:tblStylePr>
    <w:tblStylePr w:type="band1Horz">
      <w:tblPr/>
      <w:tcPr>
        <w:shd w:val="clear" w:color="auto" w:fill="F8D2D7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874CB" w:themeColor="accent1" w:sz="8" w:space="0"/>
        <w:left w:val="single" w:color="4874CB" w:themeColor="accent1" w:sz="8" w:space="0"/>
        <w:bottom w:val="single" w:color="4874CB" w:themeColor="accent1" w:sz="8" w:space="0"/>
        <w:right w:val="single" w:color="4874CB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874CB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874CB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874CB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874CB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C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DC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EE822F" w:themeColor="accent2" w:sz="8" w:space="0"/>
        <w:left w:val="single" w:color="EE822F" w:themeColor="accent2" w:sz="8" w:space="0"/>
        <w:bottom w:val="single" w:color="EE822F" w:themeColor="accent2" w:sz="8" w:space="0"/>
        <w:right w:val="single" w:color="EE822F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E822F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EE822F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E822F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E822F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0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2BA02" w:themeColor="accent3" w:sz="8" w:space="0"/>
        <w:left w:val="single" w:color="F2BA02" w:themeColor="accent3" w:sz="8" w:space="0"/>
        <w:bottom w:val="single" w:color="F2BA02" w:themeColor="accent3" w:sz="8" w:space="0"/>
        <w:right w:val="single" w:color="F2BA02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2BA02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2BA02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2BA02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2BA02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FB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FB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75BD42" w:themeColor="accent4" w:sz="8" w:space="0"/>
        <w:left w:val="single" w:color="75BD42" w:themeColor="accent4" w:sz="8" w:space="0"/>
        <w:bottom w:val="single" w:color="75BD42" w:themeColor="accent4" w:sz="8" w:space="0"/>
        <w:right w:val="single" w:color="75BD4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75BD4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75BD4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75BD4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75BD4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D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D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30C0B4" w:themeColor="accent5" w:sz="8" w:space="0"/>
        <w:left w:val="single" w:color="30C0B4" w:themeColor="accent5" w:sz="8" w:space="0"/>
        <w:bottom w:val="single" w:color="30C0B4" w:themeColor="accent5" w:sz="8" w:space="0"/>
        <w:right w:val="single" w:color="30C0B4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30C0B4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30C0B4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30C0B4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30C0B4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1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F1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E54C5E" w:themeColor="accent6" w:sz="8" w:space="0"/>
        <w:left w:val="single" w:color="E54C5E" w:themeColor="accent6" w:sz="8" w:space="0"/>
        <w:bottom w:val="single" w:color="E54C5E" w:themeColor="accent6" w:sz="8" w:space="0"/>
        <w:right w:val="single" w:color="E54C5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54C5E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E54C5E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54C5E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54C5E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D2D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596D8" w:themeColor="accent1" w:themeTint="BF" w:sz="8" w:space="0"/>
        <w:left w:val="single" w:color="7596D8" w:themeColor="accent1" w:themeTint="BF" w:sz="8" w:space="0"/>
        <w:bottom w:val="single" w:color="7596D8" w:themeColor="accent1" w:themeTint="BF" w:sz="8" w:space="0"/>
        <w:right w:val="single" w:color="7596D8" w:themeColor="accent1" w:themeTint="BF" w:sz="8" w:space="0"/>
        <w:insideH w:val="single" w:color="7596D8" w:themeColor="accent1" w:themeTint="BF" w:sz="8" w:space="0"/>
        <w:insideV w:val="single" w:color="7596D8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1DC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596D8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B9E5" w:themeFill="accent1" w:themeFillTint="7F"/>
      </w:tcPr>
    </w:tblStylePr>
    <w:tblStylePr w:type="band1Horz">
      <w:tblPr/>
      <w:tcPr>
        <w:shd w:val="clear" w:color="auto" w:fill="A3B9E5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F2A163" w:themeColor="accent2" w:themeTint="BF" w:sz="8" w:space="0"/>
        <w:left w:val="single" w:color="F2A163" w:themeColor="accent2" w:themeTint="BF" w:sz="8" w:space="0"/>
        <w:bottom w:val="single" w:color="F2A163" w:themeColor="accent2" w:themeTint="BF" w:sz="8" w:space="0"/>
        <w:right w:val="single" w:color="F2A163" w:themeColor="accent2" w:themeTint="BF" w:sz="8" w:space="0"/>
        <w:insideH w:val="single" w:color="F2A163" w:themeColor="accent2" w:themeTint="BF" w:sz="8" w:space="0"/>
        <w:insideV w:val="single" w:color="F2A163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0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2A163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097" w:themeFill="accent2" w:themeFillTint="7F"/>
      </w:tcPr>
    </w:tblStylePr>
    <w:tblStylePr w:type="band1Horz">
      <w:tblPr/>
      <w:tcPr>
        <w:shd w:val="clear" w:color="auto" w:fill="F6C097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FDCF39" w:themeColor="accent3" w:themeTint="BF" w:sz="8" w:space="0"/>
        <w:left w:val="single" w:color="FDCF39" w:themeColor="accent3" w:themeTint="BF" w:sz="8" w:space="0"/>
        <w:bottom w:val="single" w:color="FDCF39" w:themeColor="accent3" w:themeTint="BF" w:sz="8" w:space="0"/>
        <w:right w:val="single" w:color="FDCF39" w:themeColor="accent3" w:themeTint="BF" w:sz="8" w:space="0"/>
        <w:insideH w:val="single" w:color="FDCF39" w:themeColor="accent3" w:themeTint="BF" w:sz="8" w:space="0"/>
        <w:insideV w:val="single" w:color="FDCF39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FB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DCF39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F7B" w:themeFill="accent3" w:themeFillTint="7F"/>
      </w:tcPr>
    </w:tblStylePr>
    <w:tblStylePr w:type="band1Horz">
      <w:tblPr/>
      <w:tcPr>
        <w:shd w:val="clear" w:color="auto" w:fill="FDDF7B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7CD71" w:themeColor="accent4" w:themeTint="BF" w:sz="8" w:space="0"/>
        <w:left w:val="single" w:color="97CD71" w:themeColor="accent4" w:themeTint="BF" w:sz="8" w:space="0"/>
        <w:bottom w:val="single" w:color="97CD71" w:themeColor="accent4" w:themeTint="BF" w:sz="8" w:space="0"/>
        <w:right w:val="single" w:color="97CD71" w:themeColor="accent4" w:themeTint="BF" w:sz="8" w:space="0"/>
        <w:insideH w:val="single" w:color="97CD71" w:themeColor="accent4" w:themeTint="BF" w:sz="8" w:space="0"/>
        <w:insideV w:val="single" w:color="97CD71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EED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7CD71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A0" w:themeFill="accent4" w:themeFillTint="7F"/>
      </w:tcPr>
    </w:tblStylePr>
    <w:tblStylePr w:type="band1Horz">
      <w:tblPr/>
      <w:tcPr>
        <w:shd w:val="clear" w:color="auto" w:fill="BADEA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5DD6CC" w:themeColor="accent5" w:themeTint="BF" w:sz="8" w:space="0"/>
        <w:left w:val="single" w:color="5DD6CC" w:themeColor="accent5" w:themeTint="BF" w:sz="8" w:space="0"/>
        <w:bottom w:val="single" w:color="5DD6CC" w:themeColor="accent5" w:themeTint="BF" w:sz="8" w:space="0"/>
        <w:right w:val="single" w:color="5DD6CC" w:themeColor="accent5" w:themeTint="BF" w:sz="8" w:space="0"/>
        <w:insideH w:val="single" w:color="5DD6CC" w:themeColor="accent5" w:themeTint="BF" w:sz="8" w:space="0"/>
        <w:insideV w:val="single" w:color="5DD6CC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9F1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5DD6CC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E4DD" w:themeFill="accent5" w:themeFillTint="7F"/>
      </w:tcPr>
    </w:tblStylePr>
    <w:tblStylePr w:type="band1Horz">
      <w:tblPr/>
      <w:tcPr>
        <w:shd w:val="clear" w:color="auto" w:fill="93E4DD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EB7886" w:themeColor="accent6" w:themeTint="BF" w:sz="8" w:space="0"/>
        <w:left w:val="single" w:color="EB7886" w:themeColor="accent6" w:themeTint="BF" w:sz="8" w:space="0"/>
        <w:bottom w:val="single" w:color="EB7886" w:themeColor="accent6" w:themeTint="BF" w:sz="8" w:space="0"/>
        <w:right w:val="single" w:color="EB7886" w:themeColor="accent6" w:themeTint="BF" w:sz="8" w:space="0"/>
        <w:insideH w:val="single" w:color="EB7886" w:themeColor="accent6" w:themeTint="BF" w:sz="8" w:space="0"/>
        <w:insideV w:val="single" w:color="EB7886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D2D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EB7886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A5AE" w:themeFill="accent6" w:themeFillTint="7F"/>
      </w:tcPr>
    </w:tblStylePr>
    <w:tblStylePr w:type="band1Horz">
      <w:tblPr/>
      <w:tcPr>
        <w:shd w:val="clear" w:color="auto" w:fill="F2A5AE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874CB" w:themeColor="accent1" w:sz="8" w:space="0"/>
        <w:left w:val="single" w:color="4874CB" w:themeColor="accent1" w:sz="8" w:space="0"/>
        <w:bottom w:val="single" w:color="4874CB" w:themeColor="accent1" w:sz="8" w:space="0"/>
        <w:right w:val="single" w:color="4874CB" w:themeColor="accent1" w:sz="8" w:space="0"/>
        <w:insideH w:val="single" w:color="4874CB" w:themeColor="accent1" w:sz="8" w:space="0"/>
        <w:insideV w:val="single" w:color="4874CB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1DCF2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1F9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3F4" w:themeFill="accent1" w:themeFillTint="33"/>
      </w:tcPr>
    </w:tblStylePr>
    <w:tblStylePr w:type="band1Vert">
      <w:tblPr/>
      <w:tcPr>
        <w:shd w:val="clear" w:color="auto" w:fill="A3B9E5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3B9E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EE822F" w:themeColor="accent2" w:sz="8" w:space="0"/>
        <w:left w:val="single" w:color="EE822F" w:themeColor="accent2" w:sz="8" w:space="0"/>
        <w:bottom w:val="single" w:color="EE822F" w:themeColor="accent2" w:sz="8" w:space="0"/>
        <w:right w:val="single" w:color="EE822F" w:themeColor="accent2" w:sz="8" w:space="0"/>
        <w:insideH w:val="single" w:color="EE822F" w:themeColor="accent2" w:sz="8" w:space="0"/>
        <w:insideV w:val="single" w:color="EE822F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0CB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5D5" w:themeFill="accent2" w:themeFillTint="33"/>
      </w:tcPr>
    </w:tblStylePr>
    <w:tblStylePr w:type="band1Vert">
      <w:tblPr/>
      <w:tcPr>
        <w:shd w:val="clear" w:color="auto" w:fill="F6C097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6C09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2BA02" w:themeColor="accent3" w:sz="8" w:space="0"/>
        <w:left w:val="single" w:color="F2BA02" w:themeColor="accent3" w:sz="8" w:space="0"/>
        <w:bottom w:val="single" w:color="F2BA02" w:themeColor="accent3" w:sz="8" w:space="0"/>
        <w:right w:val="single" w:color="F2BA02" w:themeColor="accent3" w:sz="8" w:space="0"/>
        <w:insideH w:val="single" w:color="F2BA02" w:themeColor="accent3" w:sz="8" w:space="0"/>
        <w:insideV w:val="single" w:color="F2BA02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FBD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8E5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2CA" w:themeFill="accent3" w:themeFillTint="33"/>
      </w:tcPr>
    </w:tblStylePr>
    <w:tblStylePr w:type="band1Vert">
      <w:tblPr/>
      <w:tcPr>
        <w:shd w:val="clear" w:color="auto" w:fill="FDDF7B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DDF7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75BD42" w:themeColor="accent4" w:sz="8" w:space="0"/>
        <w:left w:val="single" w:color="75BD42" w:themeColor="accent4" w:sz="8" w:space="0"/>
        <w:bottom w:val="single" w:color="75BD42" w:themeColor="accent4" w:sz="8" w:space="0"/>
        <w:right w:val="single" w:color="75BD42" w:themeColor="accent4" w:sz="8" w:space="0"/>
        <w:insideH w:val="single" w:color="75BD42" w:themeColor="accent4" w:sz="8" w:space="0"/>
        <w:insideV w:val="single" w:color="75BD4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EED0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1F8EC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D9" w:themeFill="accent4" w:themeFillTint="33"/>
      </w:tcPr>
    </w:tblStylePr>
    <w:tblStylePr w:type="band1Vert">
      <w:tblPr/>
      <w:tcPr>
        <w:shd w:val="clear" w:color="auto" w:fill="BADEA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ADEA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30C0B4" w:themeColor="accent5" w:sz="8" w:space="0"/>
        <w:left w:val="single" w:color="30C0B4" w:themeColor="accent5" w:sz="8" w:space="0"/>
        <w:bottom w:val="single" w:color="30C0B4" w:themeColor="accent5" w:sz="8" w:space="0"/>
        <w:right w:val="single" w:color="30C0B4" w:themeColor="accent5" w:sz="8" w:space="0"/>
        <w:insideH w:val="single" w:color="30C0B4" w:themeColor="accent5" w:sz="8" w:space="0"/>
        <w:insideV w:val="single" w:color="30C0B4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9F1EE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9F9F8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4F1" w:themeFill="accent5" w:themeFillTint="33"/>
      </w:tcPr>
    </w:tblStylePr>
    <w:tblStylePr w:type="band1Vert">
      <w:tblPr/>
      <w:tcPr>
        <w:shd w:val="clear" w:color="auto" w:fill="93E4DD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93E4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E54C5E" w:themeColor="accent6" w:sz="8" w:space="0"/>
        <w:left w:val="single" w:color="E54C5E" w:themeColor="accent6" w:sz="8" w:space="0"/>
        <w:bottom w:val="single" w:color="E54C5E" w:themeColor="accent6" w:sz="8" w:space="0"/>
        <w:right w:val="single" w:color="E54C5E" w:themeColor="accent6" w:sz="8" w:space="0"/>
        <w:insideH w:val="single" w:color="E54C5E" w:themeColor="accent6" w:sz="8" w:space="0"/>
        <w:insideV w:val="single" w:color="E54C5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D2D7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CEDEF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DE" w:themeFill="accent6" w:themeFillTint="33"/>
      </w:tcPr>
    </w:tblStylePr>
    <w:tblStylePr w:type="band1Vert">
      <w:tblPr/>
      <w:tcPr>
        <w:shd w:val="clear" w:color="auto" w:fill="F2A5AE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2A5A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1DCF2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874CB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874CB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874CB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874CB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3B9E5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3B9E5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0CB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EE822F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EE822F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E822F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E822F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6C097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6C097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FBD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2BA02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2BA02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2BA02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2BA02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DDF7B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DDF7B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EED0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75BD4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75BD4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75BD4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75BD4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ADEA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ADEA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9F1EE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30C0B4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30C0B4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30C0B4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30C0B4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93E4DD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93E4DD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D2D7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E54C5E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E54C5E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54C5E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54C5E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2A5AE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2A5AE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874C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E376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D54A0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D54A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4A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4A0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822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833F0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C55E10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C55E1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5E1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5E10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BA0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85C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58B01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58B0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B0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B01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5BD4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A5E2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78D31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78D3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D3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D31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30C0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75F5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38F86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38F8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8F8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8F86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4C5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84132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C71C31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C71C3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1C3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1C31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E822F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E822F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E822F" w:themeColor="accent2" w:sz="24" w:space="0"/>
        <w:left w:val="single" w:color="4874CB" w:themeColor="accent1" w:sz="4" w:space="0"/>
        <w:bottom w:val="single" w:color="4874CB" w:themeColor="accent1" w:sz="4" w:space="0"/>
        <w:right w:val="single" w:color="4874CB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E822F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44380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44380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380" w:themeFill="accent1" w:themeFillShade="99"/>
      </w:tcPr>
    </w:tblStylePr>
    <w:tblStylePr w:type="band1Vert">
      <w:tblPr/>
      <w:tcPr>
        <w:shd w:val="clear" w:color="auto" w:fill="B5C7EA" w:themeFill="accent1" w:themeFillTint="66"/>
      </w:tcPr>
    </w:tblStylePr>
    <w:tblStylePr w:type="band1Horz">
      <w:tblPr/>
      <w:tcPr>
        <w:shd w:val="clear" w:color="auto" w:fill="A3B9E5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E822F" w:themeColor="accent2" w:sz="24" w:space="0"/>
        <w:left w:val="single" w:color="EE822F" w:themeColor="accent2" w:sz="4" w:space="0"/>
        <w:bottom w:val="single" w:color="EE822F" w:themeColor="accent2" w:sz="4" w:space="0"/>
        <w:right w:val="single" w:color="EE822F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E822F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9E4B0C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9E4B0C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4B0C" w:themeFill="accent2" w:themeFillShade="99"/>
      </w:tcPr>
    </w:tblStylePr>
    <w:tblStylePr w:type="band1Vert">
      <w:tblPr/>
      <w:tcPr>
        <w:shd w:val="clear" w:color="auto" w:fill="F8CCAB" w:themeFill="accent2" w:themeFillTint="66"/>
      </w:tcPr>
    </w:tblStylePr>
    <w:tblStylePr w:type="band1Horz">
      <w:tblPr/>
      <w:tcPr>
        <w:shd w:val="clear" w:color="auto" w:fill="F6C097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75BD42" w:themeColor="accent4" w:sz="24" w:space="0"/>
        <w:left w:val="single" w:color="F2BA02" w:themeColor="accent3" w:sz="4" w:space="0"/>
        <w:bottom w:val="single" w:color="F2BA02" w:themeColor="accent3" w:sz="4" w:space="0"/>
        <w:right w:val="single" w:color="F2BA02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8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5BD4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916F01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916F01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6F01" w:themeFill="accent3" w:themeFillShade="99"/>
      </w:tcPr>
    </w:tblStylePr>
    <w:tblStylePr w:type="band1Vert">
      <w:tblPr/>
      <w:tcPr>
        <w:shd w:val="clear" w:color="auto" w:fill="FEE595" w:themeFill="accent3" w:themeFillTint="66"/>
      </w:tcPr>
    </w:tblStylePr>
    <w:tblStylePr w:type="band1Horz">
      <w:tblPr/>
      <w:tcPr>
        <w:shd w:val="clear" w:color="auto" w:fill="FDDF7B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2BA02" w:themeColor="accent3" w:sz="24" w:space="0"/>
        <w:left w:val="single" w:color="75BD42" w:themeColor="accent4" w:sz="4" w:space="0"/>
        <w:bottom w:val="single" w:color="75BD42" w:themeColor="accent4" w:sz="4" w:space="0"/>
        <w:right w:val="single" w:color="75BD4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8EC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2BA02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67127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67127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27" w:themeFill="accent4" w:themeFillShade="99"/>
      </w:tcPr>
    </w:tblStylePr>
    <w:tblStylePr w:type="band1Vert">
      <w:tblPr/>
      <w:tcPr>
        <w:shd w:val="clear" w:color="auto" w:fill="C7E4B3" w:themeFill="accent4" w:themeFillTint="66"/>
      </w:tcPr>
    </w:tblStylePr>
    <w:tblStylePr w:type="band1Horz">
      <w:tblPr/>
      <w:tcPr>
        <w:shd w:val="clear" w:color="auto" w:fill="BADEA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54C5E" w:themeColor="accent6" w:sz="24" w:space="0"/>
        <w:left w:val="single" w:color="30C0B4" w:themeColor="accent5" w:sz="4" w:space="0"/>
        <w:bottom w:val="single" w:color="30C0B4" w:themeColor="accent5" w:sz="4" w:space="0"/>
        <w:right w:val="single" w:color="30C0B4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F9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54C5E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1C736B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1C736B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736B" w:themeFill="accent5" w:themeFillShade="99"/>
      </w:tcPr>
    </w:tblStylePr>
    <w:tblStylePr w:type="band1Vert">
      <w:tblPr/>
      <w:tcPr>
        <w:shd w:val="clear" w:color="auto" w:fill="A8E9E3" w:themeFill="accent5" w:themeFillTint="66"/>
      </w:tcPr>
    </w:tblStylePr>
    <w:tblStylePr w:type="band1Horz">
      <w:tblPr/>
      <w:tcPr>
        <w:shd w:val="clear" w:color="auto" w:fill="93E4DD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30C0B4" w:themeColor="accent5" w:sz="24" w:space="0"/>
        <w:left w:val="single" w:color="E54C5E" w:themeColor="accent6" w:sz="4" w:space="0"/>
        <w:bottom w:val="single" w:color="E54C5E" w:themeColor="accent6" w:sz="4" w:space="0"/>
        <w:right w:val="single" w:color="E54C5E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D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30C0B4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9F172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9F172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1727" w:themeFill="accent6" w:themeFillShade="99"/>
      </w:tcPr>
    </w:tblStylePr>
    <w:tblStylePr w:type="band1Vert">
      <w:tblPr/>
      <w:tcPr>
        <w:shd w:val="clear" w:color="auto" w:fill="F4B7BE" w:themeFill="accent6" w:themeFillTint="66"/>
      </w:tcPr>
    </w:tblStylePr>
    <w:tblStylePr w:type="band1Horz">
      <w:tblPr/>
      <w:tcPr>
        <w:shd w:val="clear" w:color="auto" w:fill="F2A5AE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D26511" w:themeFill="accent2" w:themeFillShade="CC"/>
      </w:tcPr>
    </w:tblStylePr>
    <w:tblStylePr w:type="lastRow">
      <w:rPr>
        <w:b/>
        <w:bCs/>
        <w:color w:val="D36511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1F9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D26511" w:themeFill="accent2" w:themeFillShade="CC"/>
      </w:tcPr>
    </w:tblStylePr>
    <w:tblStylePr w:type="lastRow">
      <w:rPr>
        <w:b/>
        <w:bCs/>
        <w:color w:val="D36511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CF2" w:themeFill="accent1" w:themeFillTint="3F"/>
      </w:tcPr>
    </w:tblStylePr>
    <w:tblStylePr w:type="band1Horz">
      <w:tblPr/>
      <w:tcPr>
        <w:shd w:val="clear" w:color="auto" w:fill="DAE3F4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D26511" w:themeFill="accent2" w:themeFillShade="CC"/>
      </w:tcPr>
    </w:tblStylePr>
    <w:tblStylePr w:type="lastRow">
      <w:rPr>
        <w:b/>
        <w:bCs/>
        <w:color w:val="D36511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0CB" w:themeFill="accent2" w:themeFillTint="3F"/>
      </w:tcPr>
    </w:tblStylePr>
    <w:tblStylePr w:type="band1Horz">
      <w:tblPr/>
      <w:tcPr>
        <w:shd w:val="clear" w:color="auto" w:fill="FBE5D5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8E5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5D9734" w:themeFill="accent4" w:themeFillShade="CC"/>
      </w:tcPr>
    </w:tblStylePr>
    <w:tblStylePr w:type="lastRow">
      <w:rPr>
        <w:b/>
        <w:bCs/>
        <w:color w:val="5E9735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FBD" w:themeFill="accent3" w:themeFillTint="3F"/>
      </w:tcPr>
    </w:tblStylePr>
    <w:tblStylePr w:type="band1Horz">
      <w:tblPr/>
      <w:tcPr>
        <w:shd w:val="clear" w:color="auto" w:fill="FEF2CA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8EC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C19401" w:themeFill="accent3" w:themeFillShade="CC"/>
      </w:tcPr>
    </w:tblStylePr>
    <w:tblStylePr w:type="lastRow">
      <w:rPr>
        <w:b/>
        <w:bCs/>
        <w:color w:val="C29502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D0" w:themeFill="accent4" w:themeFillTint="3F"/>
      </w:tcPr>
    </w:tblStylePr>
    <w:tblStylePr w:type="band1Horz">
      <w:tblPr/>
      <w:tcPr>
        <w:shd w:val="clear" w:color="auto" w:fill="E3F1D9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F9F8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D51E34" w:themeFill="accent6" w:themeFillShade="CC"/>
      </w:tcPr>
    </w:tblStylePr>
    <w:tblStylePr w:type="lastRow">
      <w:rPr>
        <w:b/>
        <w:bCs/>
        <w:color w:val="D51F34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1EE" w:themeFill="accent5" w:themeFillTint="3F"/>
      </w:tcPr>
    </w:tblStylePr>
    <w:tblStylePr w:type="band1Horz">
      <w:tblPr/>
      <w:tcPr>
        <w:shd w:val="clear" w:color="auto" w:fill="D3F4F1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DEF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26998F" w:themeFill="accent5" w:themeFillShade="CC"/>
      </w:tcPr>
    </w:tblStylePr>
    <w:tblStylePr w:type="lastRow">
      <w:rPr>
        <w:b/>
        <w:bCs/>
        <w:color w:val="269A90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2D7" w:themeFill="accent6" w:themeFillTint="3F"/>
      </w:tcPr>
    </w:tblStylePr>
    <w:tblStylePr w:type="band1Horz">
      <w:tblPr/>
      <w:tcPr>
        <w:shd w:val="clear" w:color="auto" w:fill="F9DBDE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3F4" w:themeFill="accent1" w:themeFillTint="33"/>
    </w:tcPr>
    <w:tblStylePr w:type="firstRow">
      <w:rPr>
        <w:b/>
        <w:bCs/>
      </w:rPr>
      <w:tblPr/>
      <w:tcPr>
        <w:shd w:val="clear" w:color="auto" w:fill="B5C7EA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5C7EA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D54A0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D54A0" w:themeFill="accent1" w:themeFillShade="BF"/>
      </w:tcPr>
    </w:tblStylePr>
    <w:tblStylePr w:type="band1Vert">
      <w:tblPr/>
      <w:tcPr>
        <w:shd w:val="clear" w:color="auto" w:fill="A3B9E5" w:themeFill="accent1" w:themeFillTint="7F"/>
      </w:tcPr>
    </w:tblStylePr>
    <w:tblStylePr w:type="band1Horz">
      <w:tblPr/>
      <w:tcPr>
        <w:shd w:val="clear" w:color="auto" w:fill="A3B9E5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5D5" w:themeFill="accent2" w:themeFillTint="33"/>
    </w:tcPr>
    <w:tblStylePr w:type="firstRow">
      <w:rPr>
        <w:b/>
        <w:bCs/>
      </w:rPr>
      <w:tblPr/>
      <w:tcPr>
        <w:shd w:val="clear" w:color="auto" w:fill="F8CCAB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CCAB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55E10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55E10" w:themeFill="accent2" w:themeFillShade="BF"/>
      </w:tcPr>
    </w:tblStylePr>
    <w:tblStylePr w:type="band1Vert">
      <w:tblPr/>
      <w:tcPr>
        <w:shd w:val="clear" w:color="auto" w:fill="F6C097" w:themeFill="accent2" w:themeFillTint="7F"/>
      </w:tcPr>
    </w:tblStylePr>
    <w:tblStylePr w:type="band1Horz">
      <w:tblPr/>
      <w:tcPr>
        <w:shd w:val="clear" w:color="auto" w:fill="F6C097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2CA" w:themeFill="accent3" w:themeFillTint="33"/>
    </w:tcPr>
    <w:tblStylePr w:type="firstRow">
      <w:rPr>
        <w:b/>
        <w:bCs/>
      </w:rPr>
      <w:tblPr/>
      <w:tcPr>
        <w:shd w:val="clear" w:color="auto" w:fill="FEE595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E595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B58B01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B58B01" w:themeFill="accent3" w:themeFillShade="BF"/>
      </w:tcPr>
    </w:tblStylePr>
    <w:tblStylePr w:type="band1Vert">
      <w:tblPr/>
      <w:tcPr>
        <w:shd w:val="clear" w:color="auto" w:fill="FDDF7B" w:themeFill="accent3" w:themeFillTint="7F"/>
      </w:tcPr>
    </w:tblStylePr>
    <w:tblStylePr w:type="band1Horz">
      <w:tblPr/>
      <w:tcPr>
        <w:shd w:val="clear" w:color="auto" w:fill="FDDF7B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F1D9" w:themeFill="accent4" w:themeFillTint="33"/>
    </w:tcPr>
    <w:tblStylePr w:type="firstRow">
      <w:rPr>
        <w:b/>
        <w:bCs/>
      </w:rPr>
      <w:tblPr/>
      <w:tcPr>
        <w:shd w:val="clear" w:color="auto" w:fill="C7E4B3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7E4B3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78D31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78D31" w:themeFill="accent4" w:themeFillShade="BF"/>
      </w:tcPr>
    </w:tblStylePr>
    <w:tblStylePr w:type="band1Vert">
      <w:tblPr/>
      <w:tcPr>
        <w:shd w:val="clear" w:color="auto" w:fill="BADEA0" w:themeFill="accent4" w:themeFillTint="7F"/>
      </w:tcPr>
    </w:tblStylePr>
    <w:tblStylePr w:type="band1Horz">
      <w:tblPr/>
      <w:tcPr>
        <w:shd w:val="clear" w:color="auto" w:fill="BADEA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F4F1" w:themeFill="accent5" w:themeFillTint="33"/>
    </w:tcPr>
    <w:tblStylePr w:type="firstRow">
      <w:rPr>
        <w:b/>
        <w:bCs/>
      </w:rPr>
      <w:tblPr/>
      <w:tcPr>
        <w:shd w:val="clear" w:color="auto" w:fill="A8E9E3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A8E9E3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38F86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38F86" w:themeFill="accent5" w:themeFillShade="BF"/>
      </w:tcPr>
    </w:tblStylePr>
    <w:tblStylePr w:type="band1Vert">
      <w:tblPr/>
      <w:tcPr>
        <w:shd w:val="clear" w:color="auto" w:fill="93E4DD" w:themeFill="accent5" w:themeFillTint="7F"/>
      </w:tcPr>
    </w:tblStylePr>
    <w:tblStylePr w:type="band1Horz">
      <w:tblPr/>
      <w:tcPr>
        <w:shd w:val="clear" w:color="auto" w:fill="93E4DD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BDE" w:themeFill="accent6" w:themeFillTint="33"/>
    </w:tcPr>
    <w:tblStylePr w:type="firstRow">
      <w:rPr>
        <w:b/>
        <w:bCs/>
      </w:rPr>
      <w:tblPr/>
      <w:tcPr>
        <w:shd w:val="clear" w:color="auto" w:fill="F4B7BE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4B7BE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71C31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71C31" w:themeFill="accent6" w:themeFillShade="BF"/>
      </w:tcPr>
    </w:tblStylePr>
    <w:tblStylePr w:type="band1Vert">
      <w:tblPr/>
      <w:tcPr>
        <w:shd w:val="clear" w:color="auto" w:fill="F2A5AE" w:themeFill="accent6" w:themeFillTint="7F"/>
      </w:tcPr>
    </w:tblStylePr>
    <w:tblStylePr w:type="band1Horz">
      <w:tblPr/>
      <w:tcPr>
        <w:shd w:val="clear" w:color="auto" w:fill="F2A5AE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Body Text 3 Char"/>
    <w:basedOn w:val="132"/>
    <w:link w:val="17"/>
    <w:qFormat/>
    <w:uiPriority w:val="99"/>
    <w:rPr>
      <w:sz w:val="16"/>
      <w:szCs w:val="16"/>
    </w:rPr>
  </w:style>
  <w:style w:type="paragraph" w:styleId="136">
    <w:name w:val="List Paragraph"/>
    <w:basedOn w:val="1"/>
    <w:qFormat/>
    <w:uiPriority w:val="34"/>
    <w:pPr>
      <w:ind w:left="720"/>
      <w:contextualSpacing/>
    </w:pPr>
  </w:style>
  <w:style w:type="character" w:customStyle="1" w:styleId="137">
    <w:name w:val="Heading 3 Char"/>
    <w:basedOn w:val="132"/>
    <w:qFormat/>
    <w:uiPriority w:val="9"/>
    <w:rPr>
      <w:rFonts w:asciiTheme="majorHAnsi" w:hAnsiTheme="majorHAnsi" w:eastAsiaTheme="majorEastAsia" w:cstheme="majorBidi"/>
      <w:b/>
      <w:bCs/>
      <w:color w:val="4874CB" w:themeColor="accent1"/>
      <w14:textFill>
        <w14:solidFill>
          <w14:schemeClr w14:val="accent1"/>
        </w14:solidFill>
      </w14:textFill>
    </w:rPr>
  </w:style>
  <w:style w:type="paragraph" w:customStyle="1" w:styleId="138">
    <w:name w:val="附录标题"/>
    <w:next w:val="1"/>
    <w:qFormat/>
    <w:uiPriority w:val="0"/>
    <w:pPr>
      <w:keepNext w:val="0"/>
      <w:keepLines w:val="0"/>
      <w:widowControl w:val="0"/>
      <w:spacing w:after="240" w:line="240" w:lineRule="auto"/>
      <w:jc w:val="left"/>
      <w:outlineLvl w:val="0"/>
    </w:pPr>
    <w:rPr>
      <w:rFonts w:ascii="Times New Roman" w:hAnsi="Times New Roman" w:eastAsia="宋体" w:cs="Times New Roman"/>
      <w:b/>
      <w:sz w:val="24"/>
    </w:rPr>
  </w:style>
  <w:style w:type="character" w:customStyle="1" w:styleId="139">
    <w:name w:val="Footer Char"/>
    <w:basedOn w:val="132"/>
    <w:link w:val="24"/>
    <w:qFormat/>
    <w:uiPriority w:val="99"/>
  </w:style>
  <w:style w:type="character" w:customStyle="1" w:styleId="140">
    <w:name w:val="Heading 6 Char"/>
    <w:basedOn w:val="132"/>
    <w:semiHidden/>
    <w:qFormat/>
    <w:uiPriority w:val="9"/>
    <w:rPr>
      <w:rFonts w:asciiTheme="majorHAnsi" w:hAnsiTheme="majorHAnsi" w:eastAsiaTheme="majorEastAsia" w:cstheme="majorBidi"/>
      <w:i/>
      <w:iCs/>
      <w:color w:val="1E386B" w:themeColor="accent1" w:themeShade="80"/>
    </w:rPr>
  </w:style>
  <w:style w:type="paragraph" w:styleId="141">
    <w:name w:val="Quote"/>
    <w:basedOn w:val="1"/>
    <w:next w:val="1"/>
    <w:link w:val="164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2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43">
    <w:name w:val="Heading 1 Char"/>
    <w:basedOn w:val="132"/>
    <w:qFormat/>
    <w:uiPriority w:val="9"/>
    <w:rPr>
      <w:rFonts w:asciiTheme="majorHAnsi" w:hAnsiTheme="majorHAnsi" w:eastAsiaTheme="majorEastAsia" w:cstheme="majorBidi"/>
      <w:b/>
      <w:bCs/>
      <w:color w:val="2E54A1" w:themeColor="accent1" w:themeShade="BF"/>
      <w:sz w:val="28"/>
      <w:szCs w:val="28"/>
    </w:rPr>
  </w:style>
  <w:style w:type="character" w:customStyle="1" w:styleId="144">
    <w:name w:val="Heading 4 Char"/>
    <w:basedOn w:val="132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874CB" w:themeColor="accent1"/>
      <w14:textFill>
        <w14:solidFill>
          <w14:schemeClr w14:val="accent1"/>
        </w14:solidFill>
      </w14:textFill>
    </w:rPr>
  </w:style>
  <w:style w:type="paragraph" w:customStyle="1" w:styleId="145">
    <w:name w:val="内嵌文档标题1"/>
    <w:next w:val="1"/>
    <w:qFormat/>
    <w:uiPriority w:val="0"/>
    <w:pPr>
      <w:widowControl w:val="0"/>
      <w:spacing w:before="240" w:after="240" w:line="360" w:lineRule="auto"/>
      <w:jc w:val="center"/>
      <w:outlineLvl w:val="0"/>
    </w:pPr>
    <w:rPr>
      <w:rFonts w:ascii="Times New Roman" w:hAnsi="Times New Roman" w:eastAsia="宋体" w:cs="Times New Roman"/>
      <w:b/>
      <w:kern w:val="2"/>
      <w:sz w:val="24"/>
    </w:rPr>
  </w:style>
  <w:style w:type="character" w:customStyle="1" w:styleId="146">
    <w:name w:val="Header Char"/>
    <w:basedOn w:val="132"/>
    <w:link w:val="25"/>
    <w:qFormat/>
    <w:uiPriority w:val="99"/>
  </w:style>
  <w:style w:type="character" w:customStyle="1" w:styleId="147">
    <w:name w:val="Title Char"/>
    <w:basedOn w:val="132"/>
    <w:qFormat/>
    <w:uiPriority w:val="10"/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</w:rPr>
  </w:style>
  <w:style w:type="paragraph" w:styleId="14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9">
    <w:name w:val="Book Title"/>
    <w:basedOn w:val="132"/>
    <w:qFormat/>
    <w:uiPriority w:val="33"/>
    <w:rPr>
      <w:b/>
      <w:bCs/>
      <w:smallCaps/>
      <w:spacing w:val="5"/>
    </w:rPr>
  </w:style>
  <w:style w:type="character" w:customStyle="1" w:styleId="150">
    <w:name w:val="Heading 5 Char"/>
    <w:basedOn w:val="132"/>
    <w:semiHidden/>
    <w:qFormat/>
    <w:uiPriority w:val="9"/>
    <w:rPr>
      <w:rFonts w:asciiTheme="majorHAnsi" w:hAnsiTheme="majorHAnsi" w:eastAsiaTheme="majorEastAsia" w:cstheme="majorBidi"/>
      <w:color w:val="1E386B" w:themeColor="accent1" w:themeShade="80"/>
    </w:rPr>
  </w:style>
  <w:style w:type="character" w:customStyle="1" w:styleId="151">
    <w:name w:val="Subtle Reference"/>
    <w:basedOn w:val="132"/>
    <w:qFormat/>
    <w:uiPriority w:val="31"/>
    <w:rPr>
      <w:smallCaps/>
      <w:color w:val="EE822F" w:themeColor="accent2"/>
      <w:u w:val="single"/>
      <w14:textFill>
        <w14:solidFill>
          <w14:schemeClr w14:val="accent2"/>
        </w14:solidFill>
      </w14:textFill>
    </w:rPr>
  </w:style>
  <w:style w:type="paragraph" w:customStyle="1" w:styleId="152">
    <w:name w:val="TOC Heading"/>
    <w:basedOn w:val="3"/>
    <w:next w:val="1"/>
    <w:semiHidden/>
    <w:unhideWhenUsed/>
    <w:qFormat/>
    <w:uiPriority w:val="39"/>
    <w:pPr>
      <w:outlineLvl w:val="9"/>
    </w:pPr>
  </w:style>
  <w:style w:type="character" w:customStyle="1" w:styleId="153">
    <w:name w:val="Subtitle Char"/>
    <w:link w:val="26"/>
    <w:qFormat/>
    <w:uiPriority w:val="11"/>
    <w:rPr>
      <w:rFonts w:ascii="Times New Roman" w:hAnsi="Times New Roman" w:eastAsia="宋体"/>
      <w:kern w:val="28"/>
      <w:sz w:val="21"/>
    </w:rPr>
  </w:style>
  <w:style w:type="character" w:customStyle="1" w:styleId="154">
    <w:name w:val="Heading 7 Char"/>
    <w:basedOn w:val="132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customStyle="1" w:styleId="156">
    <w:name w:val="章节标题"/>
    <w:next w:val="1"/>
    <w:qFormat/>
    <w:uiPriority w:val="0"/>
    <w:pPr>
      <w:pageBreakBefore w:val="0"/>
      <w:widowControl w:val="0"/>
      <w:spacing w:before="240" w:beforeLines="0" w:after="240" w:line="240" w:lineRule="auto"/>
      <w:jc w:val="center"/>
      <w:outlineLvl w:val="0"/>
    </w:pPr>
    <w:rPr>
      <w:rFonts w:ascii="Times New Roman" w:hAnsi="Times New Roman" w:eastAsia="黑体" w:cs="Times New Roman"/>
      <w:kern w:val="44"/>
      <w:sz w:val="32"/>
      <w:szCs w:val="36"/>
    </w:rPr>
  </w:style>
  <w:style w:type="character" w:customStyle="1" w:styleId="157">
    <w:name w:val="Heading 9 Char"/>
    <w:basedOn w:val="132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8">
    <w:name w:val="Heading 2 Char"/>
    <w:basedOn w:val="132"/>
    <w:qFormat/>
    <w:uiPriority w:val="9"/>
    <w:rPr>
      <w:rFonts w:asciiTheme="majorHAnsi" w:hAnsiTheme="majorHAnsi" w:eastAsiaTheme="majorEastAsia" w:cstheme="majorBidi"/>
      <w:b/>
      <w:bCs/>
      <w:color w:val="4874CB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59">
    <w:name w:val="Intense Quote Char"/>
    <w:basedOn w:val="132"/>
    <w:link w:val="160"/>
    <w:qFormat/>
    <w:uiPriority w:val="30"/>
    <w:rPr>
      <w:b/>
      <w:bCs/>
      <w:i/>
      <w:iCs/>
      <w:color w:val="4874CB" w:themeColor="accent1"/>
      <w14:textFill>
        <w14:solidFill>
          <w14:schemeClr w14:val="accent1"/>
        </w14:solidFill>
      </w14:textFill>
    </w:rPr>
  </w:style>
  <w:style w:type="paragraph" w:styleId="160">
    <w:name w:val="Intense Quote"/>
    <w:basedOn w:val="1"/>
    <w:next w:val="1"/>
    <w:link w:val="159"/>
    <w:qFormat/>
    <w:uiPriority w:val="30"/>
    <w:pPr>
      <w:pBdr>
        <w:bottom w:val="single" w:color="4874CB" w:themeColor="accent1" w:sz="4" w:space="4"/>
      </w:pBdr>
      <w:spacing w:before="200" w:after="280"/>
      <w:ind w:left="936" w:right="936"/>
    </w:pPr>
    <w:rPr>
      <w:b/>
      <w:bCs/>
      <w:i/>
      <w:iCs/>
      <w:color w:val="4874CB" w:themeColor="accent1"/>
      <w14:textFill>
        <w14:solidFill>
          <w14:schemeClr w14:val="accent1"/>
        </w14:solidFill>
      </w14:textFill>
    </w:rPr>
  </w:style>
  <w:style w:type="character" w:customStyle="1" w:styleId="161">
    <w:name w:val="Body Text 2 Char"/>
    <w:basedOn w:val="132"/>
    <w:link w:val="28"/>
    <w:qFormat/>
    <w:uiPriority w:val="99"/>
  </w:style>
  <w:style w:type="character" w:customStyle="1" w:styleId="162">
    <w:name w:val="Body Text Char"/>
    <w:link w:val="19"/>
    <w:qFormat/>
    <w:uiPriority w:val="99"/>
    <w:rPr>
      <w:rFonts w:ascii="Times New Roman" w:hAnsi="Times New Roman" w:eastAsia="宋体"/>
      <w:sz w:val="24"/>
    </w:rPr>
  </w:style>
  <w:style w:type="character" w:customStyle="1" w:styleId="163">
    <w:name w:val="Intense Reference"/>
    <w:basedOn w:val="132"/>
    <w:qFormat/>
    <w:uiPriority w:val="32"/>
    <w:rPr>
      <w:b/>
      <w:bCs/>
      <w:smallCaps/>
      <w:color w:val="EE822F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4">
    <w:name w:val="Quote Char"/>
    <w:basedOn w:val="132"/>
    <w:link w:val="14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65">
    <w:name w:val="Heading 8 Char"/>
    <w:basedOn w:val="132"/>
    <w:semiHidden/>
    <w:qFormat/>
    <w:uiPriority w:val="9"/>
    <w:rPr>
      <w:rFonts w:asciiTheme="majorHAnsi" w:hAnsiTheme="majorHAnsi" w:eastAsiaTheme="majorEastAsia" w:cstheme="majorBidi"/>
      <w:color w:val="4874CB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66">
    <w:name w:val="Intense Emphasis"/>
    <w:basedOn w:val="132"/>
    <w:qFormat/>
    <w:uiPriority w:val="21"/>
    <w:rPr>
      <w:b/>
      <w:bCs/>
      <w:i/>
      <w:iCs/>
      <w:color w:val="4874CB" w:themeColor="accent1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23</Pages>
  <Words>956</Words>
  <Characters>981</Characters>
  <TotalTime>2</TotalTime>
  <ScaleCrop>false</ScaleCrop>
  <LinksUpToDate>false</LinksUpToDate>
  <CharactersWithSpaces>982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2026-08-13T22:28:00Z</dcterms:created>
  <dc:creator>Administrator</dc:creator>
  <cp:lastModifiedBy>星星涟漪</cp:lastModifiedBy>
  <dcterms:modified xsi:type="dcterms:W3CDTF">2026-08-21T08:33:26Z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eyJoZGlkIjoiMTk4ZmM5YTdiNWViZTc1ODVkMWNkMzIwMWQ4ZGYwMDgiLCJ1c2VySWQiOiIzMzUzOTA5NTQifQ==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4041AFEB669A45279C91100E46C6247A_13</vt:lpwstr>
  </property>
</Properties>
</file>