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34" w:rsidRPr="009A1E34" w:rsidRDefault="009A1E34" w:rsidP="009A1E34">
      <w:pPr>
        <w:pStyle w:val="21"/>
        <w:ind w:firstLineChars="0" w:firstLine="0"/>
        <w:rPr>
          <w:b w:val="0"/>
        </w:rPr>
      </w:pPr>
      <w:r w:rsidRPr="009A1E34">
        <w:rPr>
          <w:rFonts w:ascii="黑体" w:eastAsia="黑体" w:hAnsi="黑体" w:cs="黑体" w:hint="eastAsia"/>
          <w:b w:val="0"/>
          <w:sz w:val="32"/>
        </w:rPr>
        <w:t>附件1</w:t>
      </w:r>
    </w:p>
    <w:p w:rsidR="009A1E34" w:rsidRDefault="009A1E34" w:rsidP="009A1E3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三明市中小学生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研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学实践教育基地建设与服务标准</w:t>
      </w:r>
    </w:p>
    <w:p w:rsidR="009A1E34" w:rsidRDefault="009A1E34" w:rsidP="009A1E34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</w:pPr>
    </w:p>
    <w:p w:rsidR="009A1E34" w:rsidRPr="009A1E34" w:rsidRDefault="009A1E34" w:rsidP="009A1E34">
      <w:pPr>
        <w:pStyle w:val="21"/>
        <w:spacing w:line="560" w:lineRule="exact"/>
        <w:ind w:firstLine="620"/>
        <w:rPr>
          <w:b w:val="0"/>
        </w:rPr>
      </w:pPr>
      <w:r w:rsidRPr="009A1E34">
        <w:rPr>
          <w:rFonts w:hAnsi="宋体" w:cs="仿宋_GB2312" w:hint="eastAsia"/>
          <w:b w:val="0"/>
          <w:color w:val="000000"/>
          <w:kern w:val="0"/>
          <w:sz w:val="31"/>
          <w:szCs w:val="31"/>
          <w:lang/>
        </w:rPr>
        <w:t>由政府或社会力量创办的，具备承接中小学生</w:t>
      </w:r>
      <w:proofErr w:type="gramStart"/>
      <w:r w:rsidRPr="009A1E34">
        <w:rPr>
          <w:rFonts w:hAnsi="宋体" w:cs="仿宋_GB2312" w:hint="eastAsia"/>
          <w:b w:val="0"/>
          <w:color w:val="000000"/>
          <w:kern w:val="0"/>
          <w:sz w:val="31"/>
          <w:szCs w:val="31"/>
          <w:lang/>
        </w:rPr>
        <w:t>研</w:t>
      </w:r>
      <w:proofErr w:type="gramEnd"/>
      <w:r w:rsidRPr="009A1E34">
        <w:rPr>
          <w:rFonts w:hAnsi="宋体" w:cs="仿宋_GB2312" w:hint="eastAsia"/>
          <w:b w:val="0"/>
          <w:color w:val="000000"/>
          <w:kern w:val="0"/>
          <w:sz w:val="31"/>
          <w:szCs w:val="31"/>
          <w:lang/>
        </w:rPr>
        <w:t>学实践教育活动，且运营良好的各类青少年校外活动场所、现有的爱国主义教育基地、国防教育基地、革命历史类纪念设施遗址、优秀传统文化教育基地、文物保护单位、科技馆、博物馆、生态保护区、自然景区、美丽乡村、特色小镇、科普教育基地、科技创新基地、示范性农业基地、高等学校、科研院所、知名企业以及大型公共设施、重大工程基地等优质资源单位并满足以下条件的均可申报中小学生</w:t>
      </w:r>
      <w:proofErr w:type="gramStart"/>
      <w:r w:rsidRPr="009A1E34">
        <w:rPr>
          <w:rFonts w:hAnsi="宋体" w:cs="仿宋_GB2312" w:hint="eastAsia"/>
          <w:b w:val="0"/>
          <w:color w:val="000000"/>
          <w:kern w:val="0"/>
          <w:sz w:val="31"/>
          <w:szCs w:val="31"/>
          <w:lang/>
        </w:rPr>
        <w:t>研</w:t>
      </w:r>
      <w:proofErr w:type="gramEnd"/>
      <w:r w:rsidRPr="009A1E34">
        <w:rPr>
          <w:rFonts w:hAnsi="宋体" w:cs="仿宋_GB2312" w:hint="eastAsia"/>
          <w:b w:val="0"/>
          <w:color w:val="000000"/>
          <w:kern w:val="0"/>
          <w:sz w:val="31"/>
          <w:szCs w:val="31"/>
          <w:lang/>
        </w:rPr>
        <w:t>学实践教育基地。</w:t>
      </w:r>
    </w:p>
    <w:tbl>
      <w:tblPr>
        <w:tblW w:w="1267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70"/>
        <w:gridCol w:w="9583"/>
      </w:tblGrid>
      <w:tr w:rsidR="009A1E34" w:rsidTr="00CD7F38">
        <w:trPr>
          <w:trHeight w:val="4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1E34" w:rsidRDefault="009A1E34" w:rsidP="00CD7F38">
            <w:pPr>
              <w:spacing w:line="42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一级指标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1E34" w:rsidRDefault="009A1E34" w:rsidP="00CD7F38">
            <w:pPr>
              <w:spacing w:line="42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二级指标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1E34" w:rsidRDefault="009A1E34" w:rsidP="00CD7F38">
            <w:pPr>
              <w:spacing w:line="42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三级指标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1.基础条件</w:t>
            </w:r>
          </w:p>
          <w:p w:rsidR="009A1E34" w:rsidRDefault="009A1E34" w:rsidP="00CD7F3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1.1基地规模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1.1.1申报场所成立并正常运营1年以上，有接待中小学生前往开展研究性学习和实践活动。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1.1.2基地每期能同时容纳300名学生开展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学旅行实践教育活动（小型场馆基地有单批次接待100名以上学生的能力）。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1.1.3基地有可供学生开展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学活动、体验、休整的场馆场地，功用齐全、布局科学合理。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1.2设施设备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1.2.1基地配有必要的教育教学用具、器材，性能完好。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1.2.2基地重点部位安装录像监控设备，全天候实时录像监控，工作正常，影像资料保存30天以上。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1.2.3基地设有一般伤病医务室（或周边有定点医院、卫生室）。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1.3周边资源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1.3.1具有区域特色元素，适宜中小学生开展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学实践教育活动的乡土乡情资源。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1.3.2基地除自身资源外，周边红色文化、自然生态、优秀传统文化、国情教育、国防科工等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学实践教育资源丰富，可满足学生不同的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学实践教育需求。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1.4运行环境</w:t>
            </w:r>
          </w:p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1.4.1基地交通便利，安全性高。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1.4.2基地有提供餐饮服务，或周边有定点餐馆的，需具备餐饮服务许可证、经营许可证、健康证三证齐全。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2.</w:t>
            </w:r>
            <w:proofErr w:type="gramStart"/>
            <w:r>
              <w:rPr>
                <w:rFonts w:ascii="黑体" w:eastAsia="黑体" w:hAnsi="微软雅黑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微软雅黑" w:hint="eastAsia"/>
                <w:sz w:val="24"/>
              </w:rPr>
              <w:t>学内容</w:t>
            </w: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2.1线路课程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2.1.1基地设计开发适合小学、初中、高中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同学段学生，且与学校教育内容相衔接的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学课程，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学实践目标明确、主题特色鲜明、富有教育功能。各学段开设2门以上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学课程。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2.1.2基地课程体系较为完整，教材、解说词内容规范，符合要求。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2.1.3基地学生教学、实践、体验活动编排合理、教育性、实践性强。</w:t>
            </w:r>
          </w:p>
        </w:tc>
      </w:tr>
      <w:tr w:rsidR="009A1E34" w:rsidTr="00CD7F38">
        <w:trPr>
          <w:trHeight w:val="7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2.1.4非各类青少年校外活动场所的基地根据自身资源特点，合理编排针对性、操作性、安全性强的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学线路。各类青少年校外活动场所申报的基地结合周边资源，至少提供2条以上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学实践教育线路。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2.2质量评估</w:t>
            </w:r>
          </w:p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2.2.1建立学生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学实践教育效果测评制度，真实反映学生对优秀文化传统教育、革命传统教育、国情教育、国防科工教育、自然生态教育、劳动教育、精神文明教育等不同主题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学知识、技能掌握情况。</w:t>
            </w:r>
          </w:p>
        </w:tc>
      </w:tr>
      <w:tr w:rsidR="009A1E34" w:rsidTr="00CD7F38">
        <w:trPr>
          <w:trHeight w:val="111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2.2.2每次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活动结束后，基地采取问卷调查等方式，及时向学生所在学校反馈活动开展情况，征求意见建议。学生所在学校对基地各项工作进行综合评价，认可度、满意度达90%以上。测评结果所反映出的问题，基地需及时进行整改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2.2.3市级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研学基地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实行动态管理，每两年现场考评一次。考核合格的继续保留；考核不合格的限期整改；整改后仍不合格的，予以摘牌。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3.组织保障</w:t>
            </w: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3.1发展规划</w:t>
            </w:r>
          </w:p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3.1.1基地编有近中期（3至5年）发展规划，规划内容涵盖教学计划、课程体系、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学线路、保障体系等核心内容，目标明确、措施可行。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3.1.2基地对中小学生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学实践教育活动有计划、有安排、有措施、有落实。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3.1.3基地每年集中接受中小学生开展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学实践教育活动人数达5000人以上。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3.2师资力量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3.2.1基地配备适合中小学需要的专业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研学指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导师或专业讲解人员、辅导员等专兼职人员至少3名。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3.2.2基地教职人员具备相应的资格，教学能力强，具备与学生互动体验等方面的知识和技能。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3.2.3基地每年组织教职人员开展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学专题培训，注重教职人员业务素养和能力提升。</w:t>
            </w:r>
          </w:p>
        </w:tc>
      </w:tr>
      <w:tr w:rsidR="009A1E34" w:rsidTr="00CD7F38">
        <w:trPr>
          <w:trHeight w:val="7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3.3组织管理</w:t>
            </w:r>
          </w:p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3.3.1基地内部管理机构健全，每年向所在地主管部门汇报基地开展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学实践教育工作情况（主管部门非教育行政部门的，工作开展情况同时报当地教育部门）。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3.3.2基地与学校签订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学实践教育活动协议（合同），制订相应服务与管理方案。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3.3.3基地财务制度健全，会计基础工作规范。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3.3.4基地日常运转经费来源稳定。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360" w:lineRule="exact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3.4优惠政策</w:t>
            </w:r>
          </w:p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3.4.1基地（正常有收门票的基地）对中小学生实施门票减免政策。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3.4.2基地对家庭经济困难学生实施费用减免措施。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3.4.3基地对中小学生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学实践教育活动实施价格优惠政策。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  <w:r>
              <w:rPr>
                <w:rFonts w:ascii="黑体" w:eastAsia="黑体" w:hAnsi="微软雅黑" w:hint="eastAsia"/>
                <w:sz w:val="24"/>
              </w:rPr>
              <w:t>4.安全保障</w:t>
            </w:r>
          </w:p>
          <w:p w:rsidR="009A1E34" w:rsidRDefault="009A1E34" w:rsidP="00CD7F38">
            <w:pPr>
              <w:spacing w:line="500" w:lineRule="exact"/>
              <w:jc w:val="center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4.1制度保障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4.1.1基地建立学生教学、实践、生活、娱乐、出行、食宿等完整的安全责任分工明确的管理制度。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4.1.2基地有应急措施预案，对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学实践教育各项活动有安全预案，并报上级主管部门备案。</w:t>
            </w:r>
          </w:p>
        </w:tc>
      </w:tr>
      <w:tr w:rsidR="009A1E34" w:rsidTr="00CD7F38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4.1.3基地建立与教育、发改、公安、财政、交通、文旅、食品药品监管等部门定期联系沟通反馈机制。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4.2人员保障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4.2.1基地配备专门的安保人员。</w:t>
            </w:r>
          </w:p>
        </w:tc>
      </w:tr>
      <w:tr w:rsidR="009A1E34" w:rsidTr="00CD7F38">
        <w:trPr>
          <w:trHeight w:val="4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4.2.2基地定期组织安全教育和应对突发事件演练。</w:t>
            </w:r>
          </w:p>
        </w:tc>
      </w:tr>
      <w:tr w:rsidR="009A1E34" w:rsidTr="00CD7F38">
        <w:trPr>
          <w:trHeight w:val="3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pStyle w:val="reader-word-layer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黑体" w:eastAsia="黑体" w:hAnsi="黑体" w:cs="黑体"/>
                <w:kern w:val="2"/>
              </w:rPr>
            </w:pPr>
            <w:r>
              <w:rPr>
                <w:rFonts w:ascii="黑体" w:eastAsia="黑体" w:hAnsi="黑体" w:cs="黑体" w:hint="eastAsia"/>
                <w:kern w:val="2"/>
              </w:rPr>
              <w:t>4.3设施保障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4.3.1基地安全设施设备齐全，性能良好。在显著位置公布内部救援电话，且畅通有效。</w:t>
            </w:r>
          </w:p>
        </w:tc>
      </w:tr>
      <w:tr w:rsidR="009A1E34" w:rsidTr="00CD7F38">
        <w:trPr>
          <w:trHeight w:val="3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微软雅黑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4.3.2基地安全警告和危险标志、标识醒目、明了。安全说明或须知等要求明确、具体。</w:t>
            </w:r>
          </w:p>
        </w:tc>
      </w:tr>
    </w:tbl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9A1E34">
          <w:pgSz w:w="16838" w:h="11906" w:orient="landscape"/>
          <w:pgMar w:top="1531" w:right="2098" w:bottom="1531" w:left="1985" w:header="720" w:footer="1553" w:gutter="0"/>
          <w:pgNumType w:fmt="numberInDash"/>
          <w:cols w:space="720"/>
          <w:docGrid w:type="lines" w:linePitch="315"/>
        </w:sectPr>
      </w:pP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A1E34" w:rsidRDefault="009A1E34" w:rsidP="009A1E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A1E34" w:rsidRDefault="009A1E34" w:rsidP="009A1E34">
      <w:pPr>
        <w:spacing w:line="560" w:lineRule="exact"/>
        <w:jc w:val="center"/>
        <w:rPr>
          <w:rFonts w:ascii="方正小标宋_GBK" w:eastAsia="方正小标宋_GBK" w:hAnsi="宋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bCs/>
          <w:sz w:val="44"/>
          <w:szCs w:val="44"/>
        </w:rPr>
        <w:t>三明市中小学</w:t>
      </w:r>
      <w:proofErr w:type="gramStart"/>
      <w:r>
        <w:rPr>
          <w:rFonts w:ascii="方正小标宋_GBK" w:eastAsia="方正小标宋_GBK" w:hAnsi="宋体" w:cs="方正小标宋简体" w:hint="eastAsia"/>
          <w:bCs/>
          <w:sz w:val="44"/>
          <w:szCs w:val="44"/>
        </w:rPr>
        <w:t>研</w:t>
      </w:r>
      <w:proofErr w:type="gramEnd"/>
      <w:r>
        <w:rPr>
          <w:rFonts w:ascii="方正小标宋_GBK" w:eastAsia="方正小标宋_GBK" w:hAnsi="宋体" w:cs="方正小标宋简体" w:hint="eastAsia"/>
          <w:bCs/>
          <w:sz w:val="44"/>
          <w:szCs w:val="44"/>
        </w:rPr>
        <w:t>学实践教育基地申报表</w:t>
      </w:r>
    </w:p>
    <w:tbl>
      <w:tblPr>
        <w:tblpPr w:leftFromText="180" w:rightFromText="180" w:vertAnchor="text" w:horzAnchor="page" w:tblpXSpec="center" w:tblpY="3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841"/>
        <w:gridCol w:w="3599"/>
        <w:gridCol w:w="1371"/>
        <w:gridCol w:w="2352"/>
      </w:tblGrid>
      <w:tr w:rsidR="009A1E34" w:rsidTr="00CD7F38">
        <w:trPr>
          <w:trHeight w:val="76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基地名称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9A1E34" w:rsidTr="00CD7F38">
        <w:trPr>
          <w:trHeight w:val="93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8"/>
              </w:rPr>
              <w:t>学主题</w:t>
            </w:r>
          </w:p>
          <w:p w:rsidR="009A1E34" w:rsidRDefault="009A1E34" w:rsidP="00CD7F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（特色）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A1E34" w:rsidTr="00CD7F38">
        <w:trPr>
          <w:trHeight w:val="76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   址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电子邮箱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9A1E34" w:rsidTr="00CD7F38">
        <w:trPr>
          <w:trHeight w:val="76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负责人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    话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9A1E34" w:rsidTr="00CD7F38">
        <w:trPr>
          <w:trHeight w:val="76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    话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9A1E34" w:rsidTr="00CD7F38">
        <w:trPr>
          <w:trHeight w:val="327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项目概况：（依照申报条件逐项进行说明）</w:t>
            </w: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A1E34" w:rsidTr="00CD7F38">
        <w:trPr>
          <w:trHeight w:val="250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</w:rPr>
              <w:lastRenderedPageBreak/>
              <w:t>主管部门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推荐意见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A1E34" w:rsidRDefault="009A1E34" w:rsidP="00CD7F38">
            <w:pPr>
              <w:spacing w:line="560" w:lineRule="exact"/>
              <w:ind w:firstLineChars="150" w:firstLine="4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</w:t>
            </w:r>
            <w:r>
              <w:rPr>
                <w:rFonts w:ascii="仿宋_GB2312" w:eastAsia="仿宋_GB2312" w:hAnsi="宋体"/>
                <w:sz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Ansi="宋体"/>
                <w:sz w:val="28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    月    日</w:t>
            </w:r>
          </w:p>
        </w:tc>
      </w:tr>
      <w:tr w:rsidR="009A1E34" w:rsidTr="00CD7F38">
        <w:trPr>
          <w:trHeight w:val="24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</w:rPr>
              <w:t>县级初审意见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</w:pPr>
          </w:p>
          <w:p w:rsidR="009A1E34" w:rsidRDefault="009A1E34" w:rsidP="009A1E34">
            <w:pPr>
              <w:pStyle w:val="21"/>
              <w:ind w:firstLine="562"/>
              <w:rPr>
                <w:rFonts w:hAnsi="宋体"/>
              </w:rPr>
            </w:pPr>
          </w:p>
          <w:p w:rsidR="009A1E34" w:rsidRDefault="009A1E34" w:rsidP="009A1E34">
            <w:pPr>
              <w:pStyle w:val="21"/>
              <w:ind w:firstLine="562"/>
              <w:rPr>
                <w:rFonts w:hAnsi="宋体"/>
              </w:rPr>
            </w:pPr>
            <w:r>
              <w:rPr>
                <w:rFonts w:hAnsi="宋体"/>
              </w:rPr>
              <w:t xml:space="preserve">         县（市、区）教育局     县（市、区）</w:t>
            </w:r>
            <w:proofErr w:type="gramStart"/>
            <w:r>
              <w:rPr>
                <w:rFonts w:hAnsi="宋体"/>
              </w:rPr>
              <w:t>文旅局</w:t>
            </w:r>
            <w:proofErr w:type="gramEnd"/>
          </w:p>
          <w:p w:rsidR="009A1E34" w:rsidRDefault="009A1E34" w:rsidP="009A1E34">
            <w:pPr>
              <w:pStyle w:val="21"/>
              <w:ind w:firstLine="562"/>
              <w:rPr>
                <w:rFonts w:hAnsi="宋体"/>
              </w:rPr>
            </w:pPr>
            <w:r>
              <w:rPr>
                <w:rFonts w:hAnsi="宋体"/>
              </w:rPr>
              <w:t xml:space="preserve">                                   年   月   日   </w:t>
            </w:r>
          </w:p>
        </w:tc>
      </w:tr>
      <w:tr w:rsidR="009A1E34" w:rsidTr="00CD7F38">
        <w:trPr>
          <w:trHeight w:val="294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</w:rPr>
              <w:t>市级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审核意见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A1E34" w:rsidRDefault="009A1E34" w:rsidP="00CD7F38">
            <w:pPr>
              <w:spacing w:line="560" w:lineRule="exact"/>
              <w:ind w:firstLineChars="550" w:firstLine="15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        （</w:t>
            </w:r>
            <w:r>
              <w:rPr>
                <w:rFonts w:ascii="仿宋_GB2312" w:eastAsia="仿宋_GB2312" w:hAnsi="宋体" w:hint="eastAsia"/>
                <w:sz w:val="28"/>
              </w:rPr>
              <w:t>盖章）</w:t>
            </w:r>
          </w:p>
          <w:p w:rsidR="009A1E34" w:rsidRDefault="009A1E34" w:rsidP="00CD7F38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    月    日</w:t>
            </w:r>
          </w:p>
        </w:tc>
      </w:tr>
    </w:tbl>
    <w:p w:rsidR="009A1E34" w:rsidRDefault="009A1E34" w:rsidP="009A1E34">
      <w:pPr>
        <w:spacing w:line="560" w:lineRule="exact"/>
        <w:ind w:rightChars="11" w:right="23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/>
          <w:sz w:val="28"/>
          <w:szCs w:val="28"/>
        </w:rPr>
        <w:t>主管部门推荐意见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/>
          <w:sz w:val="28"/>
          <w:szCs w:val="28"/>
        </w:rPr>
        <w:t>一栏由申报单位实际主管部门盖章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/>
          <w:sz w:val="28"/>
          <w:szCs w:val="28"/>
        </w:rPr>
        <w:t>县级初审意见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/>
          <w:sz w:val="28"/>
          <w:szCs w:val="28"/>
        </w:rPr>
        <w:t>由各</w:t>
      </w:r>
      <w:r>
        <w:rPr>
          <w:rFonts w:ascii="仿宋_GB2312" w:eastAsia="仿宋_GB2312" w:hAnsi="宋体" w:hint="eastAsia"/>
          <w:sz w:val="28"/>
          <w:szCs w:val="28"/>
        </w:rPr>
        <w:t>县（市、区）教育和</w:t>
      </w:r>
      <w:proofErr w:type="gramStart"/>
      <w:r>
        <w:rPr>
          <w:rFonts w:ascii="仿宋_GB2312" w:eastAsia="仿宋_GB2312" w:hAnsi="宋体"/>
          <w:sz w:val="28"/>
          <w:szCs w:val="28"/>
        </w:rPr>
        <w:t>文旅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/>
          <w:sz w:val="28"/>
          <w:szCs w:val="28"/>
        </w:rPr>
        <w:t>盖章</w:t>
      </w:r>
      <w:r>
        <w:rPr>
          <w:rFonts w:ascii="仿宋_GB2312" w:eastAsia="仿宋_GB2312" w:hAnsi="宋体" w:hint="eastAsia"/>
          <w:sz w:val="28"/>
          <w:szCs w:val="28"/>
        </w:rPr>
        <w:t xml:space="preserve">。 </w:t>
      </w:r>
    </w:p>
    <w:p w:rsidR="009A1E34" w:rsidRDefault="009A1E34" w:rsidP="009A1E34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  <w:sectPr w:rsidR="009A1E34">
          <w:pgSz w:w="11906" w:h="16838"/>
          <w:pgMar w:top="2098" w:right="1531" w:bottom="1984" w:left="1531" w:header="720" w:footer="1553" w:gutter="0"/>
          <w:pgNumType w:fmt="numberInDash"/>
          <w:cols w:space="720"/>
          <w:docGrid w:type="lines" w:linePitch="315"/>
        </w:sectPr>
      </w:pPr>
    </w:p>
    <w:p w:rsidR="009A1E34" w:rsidRDefault="009A1E34" w:rsidP="009A1E34">
      <w:pPr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</w:t>
      </w:r>
    </w:p>
    <w:p w:rsidR="009A1E34" w:rsidRDefault="009A1E34" w:rsidP="009A1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各县（市、区）申报中小学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学实践教育基地汇总表</w:t>
      </w:r>
    </w:p>
    <w:p w:rsidR="009A1E34" w:rsidRDefault="009A1E34" w:rsidP="009A1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1057" w:tblpY="1147"/>
        <w:tblOverlap w:val="never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995"/>
        <w:gridCol w:w="5625"/>
        <w:gridCol w:w="1800"/>
      </w:tblGrid>
      <w:tr w:rsidR="009A1E34" w:rsidTr="00CD7F38">
        <w:trPr>
          <w:trHeight w:val="1044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基地名称</w:t>
            </w:r>
          </w:p>
          <w:p w:rsidR="009A1E34" w:rsidRDefault="009A1E34" w:rsidP="00CD7F38">
            <w:pPr>
              <w:spacing w:line="400" w:lineRule="exact"/>
              <w:jc w:val="center"/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b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hint="eastAsia"/>
                <w:b/>
                <w:sz w:val="28"/>
                <w:szCs w:val="28"/>
              </w:rPr>
              <w:t>学主题（特色）</w:t>
            </w: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县（市、区）</w:t>
            </w:r>
          </w:p>
          <w:p w:rsidR="009A1E34" w:rsidRDefault="009A1E34" w:rsidP="00CD7F38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审核意见</w:t>
            </w:r>
          </w:p>
        </w:tc>
      </w:tr>
      <w:tr w:rsidR="009A1E34" w:rsidTr="00CD7F38">
        <w:trPr>
          <w:trHeight w:val="667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120" w:lineRule="auto"/>
            </w:pPr>
          </w:p>
        </w:tc>
      </w:tr>
      <w:tr w:rsidR="009A1E34" w:rsidTr="00CD7F38">
        <w:trPr>
          <w:trHeight w:val="667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120" w:lineRule="auto"/>
            </w:pPr>
          </w:p>
        </w:tc>
      </w:tr>
      <w:tr w:rsidR="009A1E34" w:rsidTr="00CD7F38">
        <w:trPr>
          <w:trHeight w:val="667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120" w:lineRule="auto"/>
            </w:pPr>
          </w:p>
        </w:tc>
      </w:tr>
      <w:tr w:rsidR="009A1E34" w:rsidTr="00CD7F38">
        <w:trPr>
          <w:trHeight w:val="667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120" w:lineRule="auto"/>
            </w:pPr>
          </w:p>
        </w:tc>
      </w:tr>
      <w:tr w:rsidR="009A1E34" w:rsidTr="00CD7F38">
        <w:trPr>
          <w:trHeight w:val="677"/>
        </w:trPr>
        <w:tc>
          <w:tcPr>
            <w:tcW w:w="80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</w:rPr>
            </w:pPr>
          </w:p>
        </w:tc>
        <w:tc>
          <w:tcPr>
            <w:tcW w:w="199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625" w:type="dxa"/>
            <w:vAlign w:val="center"/>
          </w:tcPr>
          <w:p w:rsidR="009A1E34" w:rsidRDefault="009A1E34" w:rsidP="00CD7F38">
            <w:pPr>
              <w:spacing w:line="120" w:lineRule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A1E34" w:rsidRDefault="009A1E34" w:rsidP="00CD7F38">
            <w:pPr>
              <w:spacing w:line="120" w:lineRule="auto"/>
            </w:pPr>
          </w:p>
        </w:tc>
      </w:tr>
    </w:tbl>
    <w:p w:rsidR="009A1E34" w:rsidRDefault="009A1E34" w:rsidP="009A1E34">
      <w:pPr>
        <w:pStyle w:val="a5"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b/>
          <w:sz w:val="30"/>
          <w:szCs w:val="30"/>
        </w:rPr>
        <w:t>县（市、区）教育局（盖章）   　         年   月   日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 xml:space="preserve">　　　　　　</w:t>
      </w:r>
      <w:proofErr w:type="gramEnd"/>
    </w:p>
    <w:p w:rsidR="009A1E34" w:rsidRDefault="009A1E34" w:rsidP="009A1E34">
      <w:pPr>
        <w:pStyle w:val="a5"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A1E34" w:rsidRDefault="009A1E34" w:rsidP="009A1E34">
      <w:pPr>
        <w:pStyle w:val="a5"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A1E34" w:rsidRDefault="009A1E34" w:rsidP="009A1E34">
      <w:pPr>
        <w:pStyle w:val="a5"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6AE5" w:rsidRPr="009A1E34" w:rsidRDefault="00696AE5" w:rsidP="009A1E34">
      <w:pPr>
        <w:rPr>
          <w:szCs w:val="32"/>
        </w:rPr>
      </w:pPr>
    </w:p>
    <w:sectPr w:rsidR="00696AE5" w:rsidRPr="009A1E34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8F" w:rsidRPr="002863F1" w:rsidRDefault="00083F8F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083F8F" w:rsidRPr="002863F1" w:rsidRDefault="00083F8F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BA4AD3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BA4AD3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BA4AD3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BA4AD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705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BA4AD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1E3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8F" w:rsidRPr="002863F1" w:rsidRDefault="00083F8F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083F8F" w:rsidRPr="002863F1" w:rsidRDefault="00083F8F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83F8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A0EFB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1EFB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5D6A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13B2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2E32"/>
    <w:rsid w:val="006944E0"/>
    <w:rsid w:val="00696AE5"/>
    <w:rsid w:val="006A4758"/>
    <w:rsid w:val="006A5EFB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16A0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7F61BF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1E34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24DE"/>
    <w:rsid w:val="00B76F51"/>
    <w:rsid w:val="00B77966"/>
    <w:rsid w:val="00B77F19"/>
    <w:rsid w:val="00B84E13"/>
    <w:rsid w:val="00B85D68"/>
    <w:rsid w:val="00BA04CA"/>
    <w:rsid w:val="00BA4AD3"/>
    <w:rsid w:val="00BA78DF"/>
    <w:rsid w:val="00BB0BF7"/>
    <w:rsid w:val="00BB2B97"/>
    <w:rsid w:val="00BB7481"/>
    <w:rsid w:val="00BC41C5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5A1B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4702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Body Text Indent 2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6D16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0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uiPriority w:val="99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5">
    <w:name w:val="Char Char Char Char Char Char Char Char Char"/>
    <w:basedOn w:val="a"/>
    <w:rsid w:val="001A0EF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Char">
    <w:name w:val="标题 3 Char"/>
    <w:basedOn w:val="a0"/>
    <w:link w:val="3"/>
    <w:rsid w:val="006D16A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blue1">
    <w:name w:val="blue1"/>
    <w:rsid w:val="006D16A0"/>
    <w:rPr>
      <w:color w:val="626E83"/>
    </w:rPr>
  </w:style>
  <w:style w:type="paragraph" w:customStyle="1" w:styleId="Char1CharCharChar">
    <w:name w:val="Char1 Char Char 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2">
    <w:name w:val="Char Char Char Char"/>
    <w:basedOn w:val="a"/>
    <w:rsid w:val="006D16A0"/>
    <w:rPr>
      <w:rFonts w:ascii="Tahoma" w:hAnsi="Tahoma"/>
      <w:sz w:val="24"/>
      <w:szCs w:val="20"/>
    </w:rPr>
  </w:style>
  <w:style w:type="paragraph" w:customStyle="1" w:styleId="title">
    <w:name w:val="title"/>
    <w:basedOn w:val="a"/>
    <w:rsid w:val="006D16A0"/>
    <w:pPr>
      <w:widowControl/>
      <w:spacing w:before="100" w:beforeAutospacing="1" w:after="100" w:afterAutospacing="1" w:line="2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harfa">
    <w:name w:val="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ubtitle">
    <w:name w:val="subtitle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2">
    <w:name w:val="xl72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3">
    <w:name w:val="xl73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5">
    <w:name w:val="xl75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7">
    <w:name w:val="xl77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xl78">
    <w:name w:val="xl78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D16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CharCharCharCharCharCharCharCharCharff6">
    <w:name w:val="Char Char Char Char Char Char Char Char Char"/>
    <w:basedOn w:val="a"/>
    <w:rsid w:val="006D16A0"/>
    <w:pPr>
      <w:widowControl/>
      <w:spacing w:after="160" w:line="240" w:lineRule="exact"/>
      <w:jc w:val="left"/>
    </w:pPr>
  </w:style>
  <w:style w:type="paragraph" w:customStyle="1" w:styleId="reader-word-layer">
    <w:name w:val="reader-word-layer"/>
    <w:basedOn w:val="a"/>
    <w:qFormat/>
    <w:rsid w:val="009A1E34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427</Words>
  <Characters>2437</Characters>
  <Application>Microsoft Office Word</Application>
  <DocSecurity>0</DocSecurity>
  <Lines>20</Lines>
  <Paragraphs>5</Paragraphs>
  <ScaleCrop>false</ScaleCrop>
  <Company>china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202</cp:revision>
  <dcterms:created xsi:type="dcterms:W3CDTF">2021-11-11T02:36:00Z</dcterms:created>
  <dcterms:modified xsi:type="dcterms:W3CDTF">2023-10-24T06:42:00Z</dcterms:modified>
</cp:coreProperties>
</file>