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20"/>
        <w:shd w:val="clear" w:color="auto" w:fill="auto"/>
        <w:spacing w:before="0" w:after="0" w:line="600" w:lineRule="exact"/>
        <w:jc w:val="left"/>
        <w:rPr>
          <w:rFonts w:hint="eastAsia" w:ascii="黑体" w:hAnsi="黑体" w:eastAsia="黑体" w:cs="黑体"/>
          <w:color w:val="000000"/>
          <w:spacing w:val="0"/>
        </w:rPr>
      </w:pPr>
      <w:r>
        <w:rPr>
          <w:rFonts w:hint="eastAsia" w:ascii="黑体" w:hAnsi="黑体" w:eastAsia="黑体" w:cs="黑体"/>
          <w:color w:val="000000"/>
          <w:spacing w:val="0"/>
        </w:rPr>
        <w:t>附件1</w:t>
      </w:r>
    </w:p>
    <w:p>
      <w:pPr>
        <w:spacing w:line="600" w:lineRule="exact"/>
        <w:jc w:val="center"/>
        <w:rPr>
          <w:rFonts w:hint="eastAsia" w:ascii="方正小标宋简体" w:hAnsi="方正小标宋简体" w:eastAsia="方正小标宋简体" w:cs="方正小标宋简体"/>
          <w:color w:val="000000"/>
          <w:sz w:val="44"/>
          <w:szCs w:val="44"/>
          <w:lang w:val="zh-CN" w:bidi="zh-CN"/>
        </w:rPr>
      </w:pPr>
      <w:r>
        <w:rPr>
          <w:rFonts w:hint="eastAsia" w:ascii="方正小标宋简体" w:hAnsi="方正小标宋简体" w:eastAsia="方正小标宋简体" w:cs="方正小标宋简体"/>
          <w:color w:val="000000"/>
          <w:sz w:val="44"/>
          <w:szCs w:val="44"/>
          <w:lang w:val="zh-CN" w:bidi="zh-CN"/>
        </w:rPr>
        <w:t>教育部办公厅关于印发《义务教育阶段</w:t>
      </w:r>
    </w:p>
    <w:p>
      <w:pPr>
        <w:spacing w:line="600" w:lineRule="exact"/>
        <w:jc w:val="center"/>
        <w:rPr>
          <w:rFonts w:hint="eastAsia" w:ascii="方正小标宋简体" w:hAnsi="方正小标宋简体" w:eastAsia="方正小标宋简体" w:cs="方正小标宋简体"/>
          <w:color w:val="000000"/>
          <w:sz w:val="44"/>
          <w:szCs w:val="44"/>
          <w:lang w:val="zh-CN" w:bidi="zh-CN"/>
        </w:rPr>
      </w:pPr>
      <w:r>
        <w:rPr>
          <w:rFonts w:hint="eastAsia" w:ascii="方正小标宋简体" w:hAnsi="方正小标宋简体" w:eastAsia="方正小标宋简体" w:cs="方正小标宋简体"/>
          <w:color w:val="000000"/>
          <w:sz w:val="44"/>
          <w:szCs w:val="44"/>
          <w:lang w:val="zh-CN" w:bidi="zh-CN"/>
        </w:rPr>
        <w:t>校外培训项目分类鉴别指南》的通知</w:t>
      </w:r>
    </w:p>
    <w:p>
      <w:pPr>
        <w:adjustRightInd w:val="0"/>
        <w:snapToGrid w:val="0"/>
        <w:spacing w:line="600" w:lineRule="exact"/>
        <w:jc w:val="center"/>
        <w:rPr>
          <w:rFonts w:hint="eastAsia" w:ascii="楷体" w:hAnsi="楷体" w:eastAsia="楷体" w:cs="楷体"/>
          <w:sz w:val="32"/>
          <w:szCs w:val="32"/>
        </w:rPr>
      </w:pPr>
      <w:r>
        <w:rPr>
          <w:rFonts w:hint="eastAsia" w:ascii="楷体" w:hAnsi="楷体" w:eastAsia="楷体" w:cs="楷体"/>
          <w:sz w:val="32"/>
          <w:szCs w:val="32"/>
        </w:rPr>
        <w:t>教监管厅函〔2021〕16号</w:t>
      </w:r>
    </w:p>
    <w:p>
      <w:pPr>
        <w:pStyle w:val="3"/>
        <w:spacing w:line="600" w:lineRule="exact"/>
        <w:ind w:firstLine="206"/>
        <w:rPr>
          <w:rFonts w:ascii="Calibri" w:hAnsi="Calibri"/>
          <w:color w:val="000000"/>
        </w:rPr>
      </w:pPr>
    </w:p>
    <w:p>
      <w:pPr>
        <w:spacing w:line="600" w:lineRule="exact"/>
        <w:rPr>
          <w:rFonts w:eastAsia="仿宋_GB2312"/>
          <w:sz w:val="32"/>
          <w:szCs w:val="32"/>
        </w:rPr>
      </w:pPr>
      <w:r>
        <w:rPr>
          <w:rFonts w:eastAsia="仿宋_GB2312"/>
          <w:sz w:val="32"/>
          <w:szCs w:val="32"/>
        </w:rPr>
        <w:t>各省、自治区、直辖市教育厅（教委），新疆生产建设兵团教育局：</w:t>
      </w:r>
    </w:p>
    <w:p>
      <w:pPr>
        <w:spacing w:line="600" w:lineRule="exact"/>
        <w:ind w:firstLine="632" w:firstLineChars="200"/>
        <w:rPr>
          <w:rFonts w:eastAsia="仿宋_GB2312"/>
          <w:sz w:val="32"/>
          <w:szCs w:val="32"/>
        </w:rPr>
      </w:pPr>
      <w:r>
        <w:rPr>
          <w:rFonts w:eastAsia="仿宋_GB2312"/>
          <w:sz w:val="32"/>
          <w:szCs w:val="32"/>
        </w:rPr>
        <w:t>为贯彻落实中共中央办公厅、国务院办公厅印发的《关于进一步减轻义务教育阶段学生作业负担和校外培训负担的意见》，加强对义务教育阶段校外培训机构“学科类”项目鉴别管理，教育部制定了《义务教育阶段校外培训项目分类鉴别指南》</w:t>
      </w:r>
      <w:r>
        <w:rPr>
          <w:rFonts w:hint="eastAsia" w:eastAsia="仿宋_GB2312"/>
          <w:sz w:val="32"/>
          <w:szCs w:val="32"/>
        </w:rPr>
        <w:t>。</w:t>
      </w:r>
      <w:r>
        <w:rPr>
          <w:rFonts w:eastAsia="仿宋_GB2312"/>
          <w:sz w:val="32"/>
          <w:szCs w:val="32"/>
        </w:rPr>
        <w:t>现印发给你们，请在</w:t>
      </w:r>
      <w:r>
        <w:rPr>
          <w:rFonts w:hint="eastAsia" w:eastAsia="仿宋_GB2312"/>
          <w:sz w:val="32"/>
          <w:szCs w:val="32"/>
        </w:rPr>
        <w:t>校外</w:t>
      </w:r>
      <w:r>
        <w:rPr>
          <w:rFonts w:eastAsia="仿宋_GB2312"/>
          <w:sz w:val="32"/>
          <w:szCs w:val="32"/>
        </w:rPr>
        <w:t>培训项目分类鉴别</w:t>
      </w:r>
      <w:r>
        <w:rPr>
          <w:rFonts w:hint="eastAsia" w:eastAsia="仿宋_GB2312"/>
          <w:sz w:val="32"/>
          <w:szCs w:val="32"/>
        </w:rPr>
        <w:t>工作中</w:t>
      </w:r>
      <w:r>
        <w:rPr>
          <w:rFonts w:eastAsia="仿宋_GB2312"/>
          <w:sz w:val="32"/>
          <w:szCs w:val="32"/>
        </w:rPr>
        <w:t>认真贯彻落实</w:t>
      </w:r>
      <w:r>
        <w:rPr>
          <w:rFonts w:hint="eastAsia" w:eastAsia="仿宋_GB2312"/>
          <w:sz w:val="32"/>
          <w:szCs w:val="32"/>
        </w:rPr>
        <w:t>，加快完善制度，加强专家队伍建设，不断提高工作的科学性和规范性。</w:t>
      </w:r>
    </w:p>
    <w:p>
      <w:pPr>
        <w:spacing w:line="600" w:lineRule="exact"/>
        <w:ind w:firstLine="632" w:firstLineChars="200"/>
        <w:rPr>
          <w:rFonts w:hint="eastAsia" w:eastAsia="仿宋_GB2312"/>
          <w:sz w:val="32"/>
          <w:szCs w:val="32"/>
        </w:rPr>
      </w:pPr>
    </w:p>
    <w:p>
      <w:pPr>
        <w:spacing w:line="600" w:lineRule="exact"/>
        <w:ind w:firstLine="632" w:firstLineChars="200"/>
        <w:rPr>
          <w:rFonts w:eastAsia="仿宋_GB2312"/>
          <w:sz w:val="32"/>
          <w:szCs w:val="32"/>
        </w:rPr>
      </w:pPr>
    </w:p>
    <w:p>
      <w:pPr>
        <w:pStyle w:val="3"/>
        <w:ind w:firstLine="206"/>
      </w:pPr>
    </w:p>
    <w:p>
      <w:pPr>
        <w:pStyle w:val="8"/>
        <w:widowControl w:val="0"/>
        <w:wordWrap w:val="0"/>
        <w:spacing w:beforeAutospacing="0" w:after="0" w:afterAutospacing="0" w:line="600" w:lineRule="exact"/>
        <w:ind w:firstLine="632" w:firstLineChars="200"/>
        <w:jc w:val="righ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 xml:space="preserve">教育部办公厅       </w:t>
      </w:r>
    </w:p>
    <w:p>
      <w:pPr>
        <w:pStyle w:val="8"/>
        <w:widowControl w:val="0"/>
        <w:wordWrap w:val="0"/>
        <w:spacing w:beforeAutospacing="0" w:after="0" w:afterAutospacing="0" w:line="600" w:lineRule="exact"/>
        <w:ind w:firstLine="632" w:firstLineChars="200"/>
        <w:jc w:val="right"/>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 xml:space="preserve">2021年11月8日    </w:t>
      </w:r>
    </w:p>
    <w:p>
      <w:pPr>
        <w:spacing w:line="560" w:lineRule="exact"/>
        <w:rPr>
          <w:rFonts w:hint="eastAsia" w:eastAsia="仿宋_GB2312"/>
          <w:color w:val="000000"/>
          <w:sz w:val="32"/>
          <w:szCs w:val="32"/>
        </w:rPr>
      </w:pPr>
    </w:p>
    <w:p>
      <w:pPr>
        <w:spacing w:line="560" w:lineRule="exact"/>
        <w:jc w:val="center"/>
        <w:rPr>
          <w:rFonts w:hint="eastAsia" w:ascii="方正小标宋简体" w:hAnsi="方正小标宋简体" w:eastAsia="方正小标宋简体" w:cs="方正小标宋简体"/>
          <w:color w:val="000000"/>
          <w:sz w:val="44"/>
          <w:szCs w:val="44"/>
          <w:lang w:val="zh-CN" w:bidi="zh-CN"/>
        </w:rPr>
      </w:pPr>
      <w:r>
        <w:rPr>
          <w:rFonts w:hint="eastAsia" w:ascii="方正小标宋简体" w:hAnsi="方正小标宋简体" w:eastAsia="方正小标宋简体" w:cs="方正小标宋简体"/>
          <w:color w:val="000000"/>
          <w:sz w:val="44"/>
          <w:szCs w:val="44"/>
          <w:lang w:val="zh-CN" w:bidi="zh-CN"/>
        </w:rPr>
        <w:t>义务教育阶段校外培训项目分类鉴别指南</w:t>
      </w:r>
    </w:p>
    <w:p>
      <w:pPr>
        <w:spacing w:line="560" w:lineRule="exact"/>
        <w:ind w:firstLine="632" w:firstLineChars="200"/>
        <w:rPr>
          <w:rFonts w:eastAsia="仿宋_GB2312"/>
          <w:sz w:val="32"/>
          <w:szCs w:val="32"/>
        </w:rPr>
      </w:pPr>
    </w:p>
    <w:p>
      <w:pPr>
        <w:wordWrap w:val="0"/>
        <w:spacing w:line="560" w:lineRule="exact"/>
        <w:ind w:firstLine="632" w:firstLineChars="200"/>
        <w:rPr>
          <w:rFonts w:eastAsia="仿宋_GB2312"/>
          <w:sz w:val="32"/>
          <w:szCs w:val="32"/>
        </w:rPr>
      </w:pPr>
      <w:r>
        <w:rPr>
          <w:rFonts w:eastAsia="仿宋_GB2312"/>
          <w:sz w:val="32"/>
          <w:szCs w:val="32"/>
        </w:rPr>
        <w:t>为贯彻落实中共中央办公厅、国务院办公厅印发的《关于进一步减轻义务教育阶段学生作业负担和校外培训负担的意见》</w:t>
      </w:r>
      <w:r>
        <w:rPr>
          <w:rFonts w:hint="eastAsia" w:eastAsia="仿宋_GB2312"/>
          <w:sz w:val="32"/>
          <w:szCs w:val="32"/>
        </w:rPr>
        <w:t>，</w:t>
      </w:r>
      <w:r>
        <w:rPr>
          <w:rFonts w:eastAsia="仿宋_GB2312"/>
          <w:sz w:val="32"/>
          <w:szCs w:val="32"/>
        </w:rPr>
        <w:t>加强对义务教育阶段校外培训机构“学科类”项目鉴别管理，制定本指南。</w:t>
      </w:r>
    </w:p>
    <w:p>
      <w:pPr>
        <w:wordWrap w:val="0"/>
        <w:spacing w:line="560" w:lineRule="exact"/>
        <w:ind w:firstLine="634" w:firstLineChars="200"/>
        <w:jc w:val="left"/>
        <w:rPr>
          <w:rFonts w:eastAsia="黑体"/>
          <w:bCs/>
          <w:color w:val="333333"/>
          <w:sz w:val="32"/>
          <w:szCs w:val="32"/>
        </w:rPr>
      </w:pPr>
      <w:r>
        <w:rPr>
          <w:rStyle w:val="10"/>
          <w:rFonts w:eastAsia="黑体"/>
          <w:bCs/>
          <w:sz w:val="32"/>
          <w:szCs w:val="32"/>
        </w:rPr>
        <w:t>一、适用范围</w:t>
      </w:r>
    </w:p>
    <w:p>
      <w:pPr>
        <w:pStyle w:val="8"/>
        <w:widowControl w:val="0"/>
        <w:shd w:val="clear" w:color="auto" w:fill="FFFFFF"/>
        <w:wordWrap w:val="0"/>
        <w:spacing w:before="0" w:beforeAutospacing="0" w:after="0" w:afterAutospacing="0" w:line="560" w:lineRule="exact"/>
        <w:ind w:firstLine="632" w:firstLineChars="200"/>
        <w:jc w:val="both"/>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校外培训机构面向义务教育阶段学生实施校外培训，适用本指南。</w:t>
      </w:r>
    </w:p>
    <w:p>
      <w:pPr>
        <w:pStyle w:val="2"/>
        <w:numPr>
          <w:ilvl w:val="1"/>
          <w:numId w:val="0"/>
        </w:numPr>
        <w:wordWrap w:val="0"/>
        <w:spacing w:line="560" w:lineRule="exact"/>
        <w:ind w:firstLine="632" w:firstLineChars="200"/>
        <w:rPr>
          <w:rFonts w:ascii="Times New Roman" w:hAnsi="Times New Roman" w:cs="Times New Roman"/>
          <w:b w:val="0"/>
          <w:bCs/>
        </w:rPr>
      </w:pPr>
      <w:r>
        <w:rPr>
          <w:rFonts w:ascii="Times New Roman" w:hAnsi="Times New Roman" w:cs="Times New Roman"/>
          <w:b w:val="0"/>
          <w:bCs/>
        </w:rPr>
        <w:t>二、基本原则</w:t>
      </w:r>
    </w:p>
    <w:p>
      <w:pPr>
        <w:pStyle w:val="8"/>
        <w:widowControl w:val="0"/>
        <w:wordWrap w:val="0"/>
        <w:spacing w:before="0" w:beforeAutospacing="0" w:after="0" w:afterAutospacing="0" w:line="560" w:lineRule="exact"/>
        <w:ind w:firstLine="632"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校外培训项目分类鉴别工作，遵循以下原则：</w:t>
      </w:r>
    </w:p>
    <w:p>
      <w:pPr>
        <w:wordWrap w:val="0"/>
        <w:spacing w:line="560" w:lineRule="exact"/>
        <w:ind w:firstLine="634" w:firstLineChars="200"/>
        <w:rPr>
          <w:rFonts w:eastAsia="仿宋_GB2312"/>
          <w:sz w:val="32"/>
          <w:szCs w:val="32"/>
          <w:highlight w:val="yellow"/>
        </w:rPr>
      </w:pPr>
      <w:r>
        <w:rPr>
          <w:rFonts w:eastAsia="楷体"/>
          <w:b/>
          <w:bCs/>
          <w:sz w:val="32"/>
          <w:szCs w:val="32"/>
        </w:rPr>
        <w:t>（一）坚持从严规范。</w:t>
      </w:r>
      <w:r>
        <w:rPr>
          <w:rFonts w:eastAsia="仿宋_GB2312"/>
          <w:sz w:val="32"/>
          <w:szCs w:val="32"/>
        </w:rPr>
        <w:t>深刻领会贯彻中央“双减”精神要求，严格遵照国家相关法律法规和政策规定，落实属地行政管理责任，明晰界线、从严要求、规范程序，体现权威性和严肃性。</w:t>
      </w:r>
    </w:p>
    <w:p>
      <w:pPr>
        <w:wordWrap w:val="0"/>
        <w:spacing w:line="560" w:lineRule="exact"/>
        <w:ind w:firstLine="634" w:firstLineChars="200"/>
        <w:rPr>
          <w:rFonts w:eastAsia="仿宋_GB2312"/>
          <w:sz w:val="32"/>
          <w:szCs w:val="32"/>
        </w:rPr>
      </w:pPr>
      <w:r>
        <w:rPr>
          <w:rFonts w:eastAsia="楷体"/>
          <w:b/>
          <w:bCs/>
          <w:sz w:val="32"/>
          <w:szCs w:val="32"/>
        </w:rPr>
        <w:t>（二）坚持科学严谨。</w:t>
      </w:r>
      <w:r>
        <w:rPr>
          <w:rFonts w:eastAsia="仿宋_GB2312"/>
          <w:sz w:val="32"/>
          <w:szCs w:val="32"/>
        </w:rPr>
        <w:t>充分依靠专家力量，尊重学科规律和教学规律，综合培训项目的实际情况，立足具体问题具体分析，给出客观、公正、独立的专业鉴别意见，确保科学与严谨。</w:t>
      </w:r>
    </w:p>
    <w:p>
      <w:pPr>
        <w:wordWrap w:val="0"/>
        <w:spacing w:line="560" w:lineRule="exact"/>
        <w:ind w:firstLine="634" w:firstLineChars="200"/>
        <w:rPr>
          <w:rFonts w:eastAsia="仿宋_GB2312"/>
          <w:sz w:val="32"/>
          <w:szCs w:val="32"/>
        </w:rPr>
      </w:pPr>
      <w:r>
        <w:rPr>
          <w:rFonts w:eastAsia="楷体"/>
          <w:b/>
          <w:bCs/>
          <w:sz w:val="32"/>
          <w:szCs w:val="32"/>
        </w:rPr>
        <w:t>（三）坚持统筹协调。</w:t>
      </w:r>
      <w:r>
        <w:rPr>
          <w:rFonts w:eastAsia="仿宋_GB2312"/>
          <w:sz w:val="32"/>
          <w:szCs w:val="32"/>
        </w:rPr>
        <w:t>加强主管部门之间横向配合、地区之间协同推进，坚持“一盘棋”，避免在实践中出现“低洼区”“空白区”“矛盾区”。积极研究和应对工作中出现的各种新情况、新问题，不断探索创新，在实践中完善制度和机制。</w:t>
      </w:r>
    </w:p>
    <w:p>
      <w:pPr>
        <w:pStyle w:val="2"/>
        <w:numPr>
          <w:ilvl w:val="1"/>
          <w:numId w:val="0"/>
        </w:numPr>
        <w:wordWrap w:val="0"/>
        <w:spacing w:line="560" w:lineRule="exact"/>
        <w:ind w:firstLine="632" w:firstLineChars="200"/>
        <w:rPr>
          <w:rFonts w:ascii="Times New Roman" w:hAnsi="Times New Roman" w:cs="Times New Roman"/>
          <w:b w:val="0"/>
          <w:bCs/>
        </w:rPr>
      </w:pPr>
      <w:r>
        <w:rPr>
          <w:rFonts w:ascii="Times New Roman" w:hAnsi="Times New Roman" w:cs="Times New Roman"/>
          <w:b w:val="0"/>
          <w:bCs/>
        </w:rPr>
        <w:t>三、鉴别依据</w:t>
      </w:r>
    </w:p>
    <w:p>
      <w:pPr>
        <w:pStyle w:val="19"/>
        <w:wordWrap w:val="0"/>
        <w:spacing w:line="560" w:lineRule="exact"/>
        <w:ind w:firstLine="632" w:firstLineChars="200"/>
        <w:rPr>
          <w:rFonts w:ascii="Times New Roman" w:hAnsi="Times New Roman" w:cs="Times New Roman"/>
        </w:rPr>
      </w:pPr>
      <w:r>
        <w:rPr>
          <w:rFonts w:ascii="Times New Roman" w:hAnsi="Times New Roman" w:cs="Times New Roman"/>
        </w:rPr>
        <w:t>根据《教育部办公厅关于进一步明确义务教育阶段校外培训学科类和非学科类范围的通知》</w:t>
      </w:r>
      <w:r>
        <w:rPr>
          <w:rFonts w:hint="eastAsia" w:ascii="Times New Roman" w:hAnsi="Times New Roman" w:cs="Times New Roman"/>
        </w:rPr>
        <w:t>（</w:t>
      </w:r>
      <w:r>
        <w:rPr>
          <w:rFonts w:ascii="Times New Roman" w:hAnsi="Times New Roman" w:cs="Times New Roman"/>
          <w:color w:val="000000"/>
        </w:rPr>
        <w:t>教监管厅函〔2021〕</w:t>
      </w:r>
      <w:r>
        <w:rPr>
          <w:rFonts w:hint="eastAsia" w:ascii="Times New Roman" w:hAnsi="Times New Roman" w:cs="Times New Roman"/>
          <w:color w:val="000000"/>
        </w:rPr>
        <w:t>3</w:t>
      </w:r>
      <w:r>
        <w:rPr>
          <w:rFonts w:ascii="Times New Roman" w:hAnsi="Times New Roman" w:cs="Times New Roman"/>
          <w:color w:val="000000"/>
        </w:rPr>
        <w:t>号</w:t>
      </w:r>
      <w:r>
        <w:rPr>
          <w:rFonts w:hint="eastAsia" w:ascii="Times New Roman" w:hAnsi="Times New Roman" w:cs="Times New Roman"/>
        </w:rPr>
        <w:t>）</w:t>
      </w:r>
      <w:r>
        <w:rPr>
          <w:rFonts w:ascii="Times New Roman" w:hAnsi="Times New Roman" w:cs="Times New Roman"/>
        </w:rPr>
        <w:t>、</w:t>
      </w:r>
      <w:r>
        <w:rPr>
          <w:rFonts w:hint="eastAsia" w:ascii="Times New Roman" w:hAnsi="Times New Roman" w:cs="Times New Roman"/>
        </w:rPr>
        <w:t>中小学</w:t>
      </w:r>
      <w:r>
        <w:rPr>
          <w:rFonts w:ascii="Times New Roman" w:hAnsi="Times New Roman" w:cs="Times New Roman"/>
        </w:rPr>
        <w:t>国家课程方案和课程标准等文件规定，结合校外培训的实际情况，</w:t>
      </w:r>
      <w:r>
        <w:rPr>
          <w:rFonts w:ascii="Times New Roman" w:hAnsi="Times New Roman" w:cs="Times New Roman"/>
          <w:kern w:val="0"/>
        </w:rPr>
        <w:t>对培训项目</w:t>
      </w:r>
      <w:r>
        <w:rPr>
          <w:rFonts w:ascii="Times New Roman" w:hAnsi="Times New Roman" w:cs="Times New Roman"/>
        </w:rPr>
        <w:t>类别进行鉴别。主要从培训目的、培训内容、培训方式、评价方式等维度进行综合考量，如符合以下特征，即判定为学科类培训项目。</w:t>
      </w:r>
    </w:p>
    <w:p>
      <w:pPr>
        <w:numPr>
          <w:ilvl w:val="0"/>
          <w:numId w:val="2"/>
        </w:numPr>
        <w:wordWrap w:val="0"/>
        <w:spacing w:line="560" w:lineRule="exact"/>
        <w:ind w:left="0" w:firstLine="643"/>
        <w:rPr>
          <w:rFonts w:eastAsia="仿宋_GB2312"/>
          <w:sz w:val="32"/>
          <w:szCs w:val="32"/>
          <w:u w:val="single"/>
        </w:rPr>
      </w:pPr>
      <w:r>
        <w:rPr>
          <w:rFonts w:eastAsia="楷体"/>
          <w:b/>
          <w:bCs/>
          <w:sz w:val="32"/>
          <w:szCs w:val="32"/>
        </w:rPr>
        <w:t>培训目的：</w:t>
      </w:r>
      <w:r>
        <w:rPr>
          <w:rFonts w:eastAsia="仿宋_GB2312"/>
          <w:sz w:val="32"/>
          <w:szCs w:val="32"/>
        </w:rPr>
        <w:t>以学科知识与技能培训为导向，主要为提升</w:t>
      </w:r>
      <w:r>
        <w:rPr>
          <w:rFonts w:hint="eastAsia" w:eastAsia="仿宋_GB2312"/>
          <w:sz w:val="32"/>
          <w:szCs w:val="32"/>
        </w:rPr>
        <w:t>学科学习</w:t>
      </w:r>
      <w:r>
        <w:rPr>
          <w:rFonts w:eastAsia="仿宋_GB2312"/>
          <w:sz w:val="32"/>
          <w:szCs w:val="32"/>
        </w:rPr>
        <w:t>成绩服务。</w:t>
      </w:r>
    </w:p>
    <w:p>
      <w:pPr>
        <w:wordWrap w:val="0"/>
        <w:spacing w:line="560" w:lineRule="exact"/>
        <w:ind w:firstLine="634" w:firstLineChars="200"/>
        <w:rPr>
          <w:rFonts w:eastAsia="仿宋_GB2312"/>
          <w:sz w:val="32"/>
          <w:szCs w:val="32"/>
        </w:rPr>
      </w:pPr>
      <w:r>
        <w:rPr>
          <w:rFonts w:eastAsia="楷体"/>
          <w:b/>
          <w:bCs/>
          <w:sz w:val="32"/>
          <w:szCs w:val="32"/>
        </w:rPr>
        <w:t>（二）培训内容：</w:t>
      </w:r>
      <w:r>
        <w:rPr>
          <w:rFonts w:eastAsia="仿宋_GB2312"/>
          <w:sz w:val="32"/>
          <w:szCs w:val="32"/>
        </w:rPr>
        <w:t>主要涉及道德与法治、语文、历史、地理、数学、外语（英语、日语、俄语）、物理、化学、生物等学科学习内容。</w:t>
      </w:r>
    </w:p>
    <w:p>
      <w:pPr>
        <w:wordWrap w:val="0"/>
        <w:spacing w:line="560" w:lineRule="exact"/>
        <w:ind w:firstLine="634" w:firstLineChars="200"/>
        <w:rPr>
          <w:rFonts w:eastAsia="仿宋_GB2312"/>
          <w:sz w:val="32"/>
          <w:szCs w:val="32"/>
        </w:rPr>
      </w:pPr>
      <w:r>
        <w:rPr>
          <w:rFonts w:eastAsia="楷体"/>
          <w:b/>
          <w:bCs/>
          <w:sz w:val="32"/>
          <w:szCs w:val="32"/>
        </w:rPr>
        <w:t>（三）培训方式：</w:t>
      </w:r>
      <w:r>
        <w:rPr>
          <w:rFonts w:eastAsia="仿宋_GB2312"/>
          <w:sz w:val="32"/>
          <w:szCs w:val="32"/>
        </w:rPr>
        <w:t>重在进行学科知识讲解、听说读写算等学科能力训练，以预习、授课和巩固</w:t>
      </w:r>
      <w:r>
        <w:rPr>
          <w:rFonts w:hint="eastAsia" w:eastAsia="仿宋_GB2312"/>
          <w:sz w:val="32"/>
          <w:szCs w:val="32"/>
        </w:rPr>
        <w:t>练习</w:t>
      </w:r>
      <w:r>
        <w:rPr>
          <w:rFonts w:eastAsia="仿宋_GB2312"/>
          <w:sz w:val="32"/>
          <w:szCs w:val="32"/>
        </w:rPr>
        <w:t>等为主要过程，以教师（包括虚拟者、</w:t>
      </w:r>
      <w:r>
        <w:rPr>
          <w:rFonts w:hint="eastAsia" w:eastAsia="仿宋_GB2312"/>
          <w:sz w:val="32"/>
          <w:szCs w:val="32"/>
        </w:rPr>
        <w:t>人工职能</w:t>
      </w:r>
      <w:r>
        <w:rPr>
          <w:rFonts w:eastAsia="仿宋_GB2312"/>
          <w:sz w:val="32"/>
          <w:szCs w:val="32"/>
        </w:rPr>
        <w:t>等）讲授示范、互动等为主要形式。</w:t>
      </w:r>
    </w:p>
    <w:p>
      <w:pPr>
        <w:wordWrap w:val="0"/>
        <w:spacing w:line="560" w:lineRule="exact"/>
        <w:ind w:firstLine="634" w:firstLineChars="200"/>
        <w:rPr>
          <w:rStyle w:val="29"/>
          <w:rFonts w:eastAsia="仿宋_GB2312"/>
          <w:bCs/>
          <w:color w:val="000000"/>
          <w:sz w:val="32"/>
          <w:szCs w:val="32"/>
        </w:rPr>
      </w:pPr>
      <w:r>
        <w:rPr>
          <w:rFonts w:eastAsia="楷体"/>
          <w:b/>
          <w:bCs/>
          <w:sz w:val="32"/>
          <w:szCs w:val="32"/>
        </w:rPr>
        <w:t>（四）结果评价：</w:t>
      </w:r>
      <w:r>
        <w:rPr>
          <w:rFonts w:eastAsia="仿宋_GB2312"/>
          <w:sz w:val="32"/>
          <w:szCs w:val="32"/>
        </w:rPr>
        <w:t>对学生的评价</w:t>
      </w:r>
      <w:r>
        <w:rPr>
          <w:rStyle w:val="29"/>
          <w:rFonts w:eastAsia="仿宋_GB2312"/>
          <w:bCs/>
          <w:color w:val="000000"/>
          <w:sz w:val="32"/>
          <w:szCs w:val="32"/>
        </w:rPr>
        <w:t>侧重甄别与选拔，以学习成绩、考试结果等作为主要评价依据。</w:t>
      </w:r>
    </w:p>
    <w:p>
      <w:pPr>
        <w:pStyle w:val="19"/>
        <w:wordWrap w:val="0"/>
        <w:spacing w:line="560" w:lineRule="exact"/>
        <w:ind w:firstLine="632" w:firstLineChars="200"/>
        <w:rPr>
          <w:rFonts w:ascii="Times New Roman" w:hAnsi="Times New Roman" w:eastAsia="黑体" w:cs="Times New Roman"/>
          <w:bCs/>
        </w:rPr>
      </w:pPr>
      <w:r>
        <w:rPr>
          <w:rFonts w:ascii="Times New Roman" w:hAnsi="Times New Roman" w:eastAsia="黑体" w:cs="Times New Roman"/>
          <w:bCs/>
        </w:rPr>
        <w:t>四、实施要求</w:t>
      </w:r>
    </w:p>
    <w:p>
      <w:pPr>
        <w:pStyle w:val="19"/>
        <w:wordWrap w:val="0"/>
        <w:spacing w:line="560" w:lineRule="exact"/>
        <w:ind w:firstLine="634" w:firstLineChars="200"/>
        <w:rPr>
          <w:rFonts w:ascii="Times New Roman" w:hAnsi="Times New Roman" w:cs="Times New Roman"/>
        </w:rPr>
      </w:pPr>
      <w:r>
        <w:rPr>
          <w:rFonts w:hint="eastAsia" w:ascii="Times New Roman" w:hAnsi="Times New Roman" w:eastAsia="楷体" w:cs="Times New Roman"/>
          <w:b/>
          <w:bCs/>
        </w:rPr>
        <w:t>（一）</w:t>
      </w:r>
      <w:r>
        <w:rPr>
          <w:rFonts w:ascii="Times New Roman" w:hAnsi="Times New Roman" w:eastAsia="楷体" w:cs="Times New Roman"/>
          <w:b/>
          <w:bCs/>
        </w:rPr>
        <w:t>建立分级指导机制。</w:t>
      </w:r>
      <w:r>
        <w:rPr>
          <w:rFonts w:ascii="Times New Roman" w:hAnsi="Times New Roman" w:cs="Times New Roman"/>
        </w:rPr>
        <w:t>省级教育行政部门要对本地培训项目分类鉴别工作进行统筹规范，加强分级指导，对各地鉴别工作中出现的问题和偏差，及时跟进指导、纠偏矫正，确保操作落实步调一致、不走偏、不走样</w:t>
      </w:r>
      <w:r>
        <w:rPr>
          <w:rFonts w:hint="eastAsia" w:ascii="Times New Roman" w:hAnsi="Times New Roman" w:cs="Times New Roman"/>
        </w:rPr>
        <w:t>，</w:t>
      </w:r>
      <w:r>
        <w:rPr>
          <w:rFonts w:ascii="Times New Roman" w:hAnsi="Times New Roman" w:cs="Times New Roman"/>
        </w:rPr>
        <w:t>避免出现同类培训项目在不同地区给出差异鉴别结果。</w:t>
      </w:r>
      <w:r>
        <w:rPr>
          <w:rFonts w:hint="eastAsia" w:ascii="Times New Roman" w:hAnsi="Times New Roman" w:cs="Times New Roman"/>
        </w:rPr>
        <w:t>当出现较大争议或难以鉴别时，下级教育行政部门应提请上级教育行政部门进行研究裁决。</w:t>
      </w:r>
      <w:r>
        <w:rPr>
          <w:rFonts w:ascii="Times New Roman" w:hAnsi="Times New Roman" w:cs="Times New Roman"/>
        </w:rPr>
        <w:t>各地</w:t>
      </w:r>
      <w:r>
        <w:rPr>
          <w:rFonts w:hint="eastAsia" w:ascii="Times New Roman" w:hAnsi="Times New Roman" w:cs="Times New Roman"/>
        </w:rPr>
        <w:t>要</w:t>
      </w:r>
      <w:r>
        <w:rPr>
          <w:rFonts w:ascii="Times New Roman" w:hAnsi="Times New Roman" w:cs="Times New Roman"/>
        </w:rPr>
        <w:t>认真总结培训项目分类鉴别工作，形成并更新典型案例资料库，促进信息互通共享，推动一线鉴别工作更加准确、高效。</w:t>
      </w:r>
    </w:p>
    <w:p>
      <w:pPr>
        <w:pStyle w:val="19"/>
        <w:wordWrap w:val="0"/>
        <w:spacing w:line="560" w:lineRule="exact"/>
        <w:ind w:firstLine="632" w:firstLineChars="200"/>
        <w:rPr>
          <w:rFonts w:ascii="Times New Roman" w:hAnsi="Times New Roman" w:cs="Times New Roman"/>
        </w:rPr>
      </w:pPr>
      <w:r>
        <w:rPr>
          <w:rFonts w:ascii="Times New Roman" w:hAnsi="Times New Roman" w:cs="Times New Roman"/>
        </w:rPr>
        <w:t>在其他主管部门开展非学科类培训管理过程中，根据工作需要，教育行政部门可协助提供有关培训项目分类鉴别意见，并对“学科类”鉴别有最终决定权。</w:t>
      </w:r>
    </w:p>
    <w:p>
      <w:pPr>
        <w:pStyle w:val="19"/>
        <w:wordWrap w:val="0"/>
        <w:spacing w:line="560" w:lineRule="exact"/>
        <w:ind w:firstLine="634" w:firstLineChars="200"/>
        <w:rPr>
          <w:rFonts w:ascii="Times New Roman" w:hAnsi="Times New Roman" w:cs="Times New Roman"/>
        </w:rPr>
      </w:pPr>
      <w:r>
        <w:rPr>
          <w:rFonts w:ascii="Times New Roman" w:hAnsi="Times New Roman" w:eastAsia="楷体" w:cs="Times New Roman"/>
          <w:b/>
          <w:bCs/>
        </w:rPr>
        <w:t>（</w:t>
      </w:r>
      <w:r>
        <w:rPr>
          <w:rFonts w:hint="eastAsia" w:ascii="Times New Roman" w:hAnsi="Times New Roman" w:eastAsia="楷体" w:cs="Times New Roman"/>
          <w:b/>
          <w:bCs/>
        </w:rPr>
        <w:t>二</w:t>
      </w:r>
      <w:r>
        <w:rPr>
          <w:rFonts w:ascii="Times New Roman" w:hAnsi="Times New Roman" w:eastAsia="楷体" w:cs="Times New Roman"/>
          <w:b/>
          <w:bCs/>
        </w:rPr>
        <w:t>）建立专家鉴别制度。</w:t>
      </w:r>
      <w:r>
        <w:rPr>
          <w:rFonts w:ascii="Times New Roman" w:hAnsi="Times New Roman" w:cs="Times New Roman"/>
        </w:rPr>
        <w:t>地方各级教育行政部门应根据相应管理需要，组建专家组</w:t>
      </w:r>
      <w:r>
        <w:rPr>
          <w:rFonts w:ascii="Times New Roman" w:hAnsi="Times New Roman" w:cs="Times New Roman"/>
          <w:bCs/>
        </w:rPr>
        <w:t>或者委托专业机构对无法直接判断的培训</w:t>
      </w:r>
      <w:r>
        <w:rPr>
          <w:rFonts w:ascii="Times New Roman" w:hAnsi="Times New Roman" w:cs="Times New Roman"/>
        </w:rPr>
        <w:t>项目开展</w:t>
      </w:r>
      <w:r>
        <w:rPr>
          <w:rFonts w:ascii="Times New Roman" w:hAnsi="Times New Roman" w:cs="Times New Roman"/>
          <w:bCs/>
        </w:rPr>
        <w:t>分类鉴别</w:t>
      </w:r>
      <w:r>
        <w:rPr>
          <w:rFonts w:ascii="Times New Roman" w:hAnsi="Times New Roman" w:cs="Times New Roman"/>
        </w:rPr>
        <w:t>，</w:t>
      </w:r>
      <w:r>
        <w:rPr>
          <w:rFonts w:hint="eastAsia" w:ascii="Times New Roman" w:hAnsi="Times New Roman" w:cs="Times New Roman"/>
        </w:rPr>
        <w:t>作</w:t>
      </w:r>
      <w:r>
        <w:rPr>
          <w:rFonts w:ascii="Times New Roman" w:hAnsi="Times New Roman" w:cs="Times New Roman"/>
        </w:rPr>
        <w:t>出鉴别决定。鉴别专家组应包括相关学科、课程、教学等方面专家，且相关人员及其直系亲属未在培训机构中任职或兼职、属于非利益相关方。接受委托的专业机构，须按照规范要求组织符合条件的专家队伍开展鉴别工作。</w:t>
      </w:r>
    </w:p>
    <w:p>
      <w:pPr>
        <w:pStyle w:val="19"/>
        <w:wordWrap w:val="0"/>
        <w:spacing w:line="560" w:lineRule="exact"/>
        <w:ind w:firstLine="632" w:firstLineChars="200"/>
        <w:rPr>
          <w:rFonts w:ascii="Times New Roman" w:hAnsi="Times New Roman" w:cs="Times New Roman"/>
        </w:rPr>
      </w:pPr>
      <w:r>
        <w:rPr>
          <w:rFonts w:ascii="Times New Roman" w:hAnsi="Times New Roman" w:cs="Times New Roman"/>
        </w:rPr>
        <w:t>根据实际工作需要，专家组可通过资料审查、实地查看、课堂观察、人员访谈等多种方式，综合研判培训目的、内容、方式、评价等具体情况，提出培训项目属于“学科类”或者“非学科类”的鉴别意见。鉴别工作不得受外界干扰，不得徇私舞弊，确保结论的真实、客观、公正。</w:t>
      </w:r>
    </w:p>
    <w:p>
      <w:pPr>
        <w:pStyle w:val="19"/>
        <w:wordWrap w:val="0"/>
        <w:spacing w:line="560" w:lineRule="exact"/>
        <w:ind w:firstLine="634" w:firstLineChars="200"/>
        <w:rPr>
          <w:rFonts w:ascii="Times New Roman" w:hAnsi="Times New Roman" w:cs="Times New Roman"/>
          <w:spacing w:val="-16"/>
        </w:rPr>
      </w:pPr>
      <w:r>
        <w:rPr>
          <w:rFonts w:ascii="Times New Roman" w:hAnsi="Times New Roman" w:eastAsia="楷体" w:cs="Times New Roman"/>
          <w:b/>
          <w:bCs/>
        </w:rPr>
        <w:t>（三）强化机构行业自律。</w:t>
      </w:r>
      <w:r>
        <w:rPr>
          <w:rFonts w:ascii="Times New Roman" w:hAnsi="Times New Roman" w:cs="Times New Roman"/>
        </w:rPr>
        <w:t>培训机构应落实自主管理责任，对开展的培训项目类别进行</w:t>
      </w:r>
      <w:r>
        <w:rPr>
          <w:rFonts w:hint="eastAsia" w:ascii="Times New Roman" w:hAnsi="Times New Roman" w:cs="Times New Roman"/>
        </w:rPr>
        <w:t>自我研判、</w:t>
      </w:r>
      <w:r>
        <w:rPr>
          <w:rFonts w:ascii="Times New Roman" w:hAnsi="Times New Roman" w:cs="Times New Roman"/>
        </w:rPr>
        <w:t>自评自查，自觉按照“学科类”或者“非学科类”的相关管理要求，规范开展培训活动，不</w:t>
      </w:r>
      <w:r>
        <w:rPr>
          <w:rFonts w:ascii="Times New Roman" w:hAnsi="Times New Roman" w:cs="Times New Roman"/>
          <w:spacing w:val="-8"/>
        </w:rPr>
        <w:t>得出现</w:t>
      </w:r>
      <w:r>
        <w:rPr>
          <w:rFonts w:hint="eastAsia" w:ascii="Times New Roman" w:hAnsi="Times New Roman" w:cs="Times New Roman"/>
          <w:spacing w:val="-8"/>
        </w:rPr>
        <w:t>名不副实</w:t>
      </w:r>
      <w:bookmarkStart w:id="0" w:name="_GoBack"/>
      <w:bookmarkEnd w:id="0"/>
      <w:r>
        <w:rPr>
          <w:rFonts w:ascii="Times New Roman" w:hAnsi="Times New Roman" w:cs="Times New Roman"/>
          <w:spacing w:val="-8"/>
        </w:rPr>
        <w:t>的情况</w:t>
      </w:r>
      <w:r>
        <w:rPr>
          <w:rFonts w:hint="eastAsia" w:ascii="Times New Roman" w:hAnsi="Times New Roman" w:cs="Times New Roman"/>
          <w:spacing w:val="-8"/>
        </w:rPr>
        <w:t>，不得隐形变异违规开展学科类培训活动</w:t>
      </w:r>
      <w:r>
        <w:rPr>
          <w:rFonts w:ascii="Times New Roman" w:hAnsi="Times New Roman" w:cs="Times New Roman"/>
          <w:spacing w:val="-8"/>
        </w:rPr>
        <w:t>。</w:t>
      </w:r>
    </w:p>
    <w:p>
      <w:pPr>
        <w:pStyle w:val="20"/>
        <w:shd w:val="clear" w:color="auto" w:fill="auto"/>
        <w:spacing w:before="0" w:after="180" w:line="240" w:lineRule="auto"/>
        <w:jc w:val="left"/>
        <w:rPr>
          <w:rFonts w:hint="eastAsia" w:ascii="黑体" w:hAnsi="黑体" w:eastAsia="黑体" w:cs="黑体"/>
          <w:color w:val="000000"/>
          <w:spacing w:val="0"/>
        </w:rPr>
        <w:sectPr>
          <w:footerReference r:id="rId4" w:type="default"/>
          <w:pgSz w:w="11906" w:h="16838"/>
          <w:pgMar w:top="2098" w:right="1531" w:bottom="1985" w:left="1531" w:header="851" w:footer="992" w:gutter="0"/>
          <w:pgNumType w:fmt="numberInDash"/>
          <w:cols w:space="720" w:num="1"/>
          <w:docGrid w:type="linesAndChars" w:linePitch="587" w:charSpace="-849"/>
        </w:sectPr>
      </w:pPr>
    </w:p>
    <w:p>
      <w:pPr>
        <w:pStyle w:val="20"/>
        <w:shd w:val="clear" w:color="auto" w:fill="auto"/>
        <w:spacing w:before="0" w:after="180" w:line="240" w:lineRule="auto"/>
        <w:jc w:val="left"/>
        <w:rPr>
          <w:rFonts w:hint="eastAsia" w:eastAsia="方正小标宋简体"/>
          <w:sz w:val="36"/>
          <w:szCs w:val="36"/>
        </w:rPr>
      </w:pPr>
      <w:r>
        <w:rPr>
          <w:rFonts w:hint="eastAsia" w:ascii="黑体" w:hAnsi="黑体" w:eastAsia="黑体" w:cs="黑体"/>
          <w:color w:val="000000"/>
          <w:spacing w:val="0"/>
        </w:rPr>
        <w:t>附件2</w:t>
      </w:r>
    </w:p>
    <w:p>
      <w:pPr>
        <w:spacing w:line="52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教育部办公厅关于进一步明确义务教育阶段</w:t>
      </w:r>
    </w:p>
    <w:p>
      <w:pPr>
        <w:spacing w:line="52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校外培训学科类和非学科类范围的通知</w:t>
      </w:r>
    </w:p>
    <w:p>
      <w:pPr>
        <w:adjustRightInd w:val="0"/>
        <w:snapToGrid w:val="0"/>
        <w:spacing w:line="520" w:lineRule="exact"/>
        <w:ind w:right="-57"/>
        <w:jc w:val="center"/>
        <w:rPr>
          <w:rFonts w:hint="eastAsia" w:ascii="楷体" w:hAnsi="楷体" w:eastAsia="楷体" w:cs="楷体"/>
          <w:sz w:val="32"/>
          <w:szCs w:val="32"/>
        </w:rPr>
      </w:pPr>
      <w:r>
        <w:rPr>
          <w:rFonts w:hint="eastAsia" w:ascii="楷体" w:hAnsi="楷体" w:eastAsia="楷体" w:cs="楷体"/>
          <w:sz w:val="32"/>
          <w:szCs w:val="32"/>
        </w:rPr>
        <w:t>教监管厅函〔2021〕3号</w:t>
      </w:r>
    </w:p>
    <w:p>
      <w:pPr>
        <w:pStyle w:val="3"/>
        <w:spacing w:line="520" w:lineRule="exact"/>
        <w:ind w:firstLine="205"/>
        <w:rPr>
          <w:rFonts w:hint="eastAsia"/>
        </w:rPr>
      </w:pPr>
    </w:p>
    <w:p>
      <w:pPr>
        <w:pStyle w:val="2"/>
        <w:numPr>
          <w:ilvl w:val="1"/>
          <w:numId w:val="0"/>
        </w:numPr>
        <w:spacing w:line="520" w:lineRule="exact"/>
        <w:rPr>
          <w:rFonts w:eastAsia="仿宋_GB2312"/>
          <w:b w:val="0"/>
        </w:rPr>
      </w:pPr>
      <w:r>
        <w:rPr>
          <w:rFonts w:hint="eastAsia" w:eastAsia="仿宋_GB2312"/>
          <w:b w:val="0"/>
        </w:rPr>
        <w:t>各省、自治区、直辖市教育厅（教委），新疆生产建设兵团教育局：</w:t>
      </w:r>
    </w:p>
    <w:p>
      <w:pPr>
        <w:pStyle w:val="2"/>
        <w:numPr>
          <w:ilvl w:val="1"/>
          <w:numId w:val="0"/>
        </w:numPr>
        <w:spacing w:line="520" w:lineRule="exact"/>
        <w:ind w:firstLine="630" w:firstLineChars="200"/>
        <w:rPr>
          <w:rFonts w:hint="eastAsia" w:eastAsia="仿宋_GB2312"/>
          <w:b w:val="0"/>
        </w:rPr>
      </w:pPr>
      <w:r>
        <w:rPr>
          <w:rFonts w:hint="eastAsia" w:eastAsia="仿宋_GB2312"/>
          <w:b w:val="0"/>
        </w:rPr>
        <w:t>为贯彻落实中共中央办公厅、国务院办公厅印发的《关于进一步减轻义务教育阶段学生作业负担和校外培训负担的意见》，指导各地做好校外培训（包括线上培训和线下培训）治理工作，现就明确义务教育阶段校外培训学科类和非学科类范围通知如下：</w:t>
      </w:r>
    </w:p>
    <w:p>
      <w:pPr>
        <w:pStyle w:val="2"/>
        <w:numPr>
          <w:ilvl w:val="1"/>
          <w:numId w:val="0"/>
        </w:numPr>
        <w:spacing w:line="520" w:lineRule="exact"/>
        <w:ind w:firstLine="630" w:firstLineChars="200"/>
        <w:rPr>
          <w:rFonts w:eastAsia="仿宋_GB2312"/>
          <w:b w:val="0"/>
        </w:rPr>
      </w:pPr>
      <w:r>
        <w:rPr>
          <w:rFonts w:hint="eastAsia" w:eastAsia="仿宋_GB2312"/>
          <w:b w:val="0"/>
        </w:rPr>
        <w:t>一、</w:t>
      </w:r>
      <w:r>
        <w:rPr>
          <w:rFonts w:hint="eastAsia" w:ascii="Times New Roman" w:hAnsi="Times New Roman" w:eastAsia="仿宋_GB2312"/>
          <w:b w:val="0"/>
        </w:rPr>
        <w:t>根据国家义务教育</w:t>
      </w:r>
      <w:r>
        <w:rPr>
          <w:rFonts w:hint="eastAsia" w:eastAsia="仿宋_GB2312"/>
          <w:b w:val="0"/>
        </w:rPr>
        <w:t>阶段</w:t>
      </w:r>
      <w:r>
        <w:rPr>
          <w:rFonts w:hint="eastAsia" w:ascii="Times New Roman" w:hAnsi="Times New Roman" w:eastAsia="仿宋_GB2312"/>
          <w:b w:val="0"/>
        </w:rPr>
        <w:t>课程设置</w:t>
      </w:r>
      <w:r>
        <w:rPr>
          <w:rFonts w:hint="eastAsia" w:eastAsia="仿宋_GB2312"/>
          <w:b w:val="0"/>
        </w:rPr>
        <w:t>的</w:t>
      </w:r>
      <w:r>
        <w:rPr>
          <w:rFonts w:hint="eastAsia" w:ascii="Times New Roman" w:hAnsi="Times New Roman" w:eastAsia="仿宋_GB2312"/>
          <w:b w:val="0"/>
        </w:rPr>
        <w:t>规定，</w:t>
      </w:r>
      <w:r>
        <w:rPr>
          <w:rFonts w:hint="eastAsia" w:eastAsia="仿宋_GB2312"/>
          <w:b w:val="0"/>
        </w:rPr>
        <w:t>在</w:t>
      </w:r>
      <w:r>
        <w:rPr>
          <w:rFonts w:hint="eastAsia" w:ascii="Times New Roman" w:hAnsi="Times New Roman" w:eastAsia="仿宋_GB2312"/>
          <w:b w:val="0"/>
        </w:rPr>
        <w:t>开展校外培训时，</w:t>
      </w:r>
      <w:r>
        <w:rPr>
          <w:rFonts w:hint="eastAsia" w:eastAsia="仿宋_GB2312"/>
          <w:b w:val="0"/>
        </w:rPr>
        <w:t>道德与法治、语文、历史、地理、数学、外语（英语、日语、俄语）、、物理、化学、生物按照学科类进行管理。对涉及以上学科国家课程标准规定的学习内容进行的校外培训，均列入学科类进行管理。</w:t>
      </w:r>
    </w:p>
    <w:p>
      <w:pPr>
        <w:pStyle w:val="2"/>
        <w:numPr>
          <w:ilvl w:val="1"/>
          <w:numId w:val="0"/>
        </w:numPr>
        <w:spacing w:line="520" w:lineRule="exact"/>
        <w:ind w:firstLine="630" w:firstLineChars="200"/>
        <w:rPr>
          <w:rFonts w:eastAsia="仿宋_GB2312"/>
          <w:b w:val="0"/>
        </w:rPr>
      </w:pPr>
      <w:r>
        <w:rPr>
          <w:rFonts w:hint="eastAsia" w:eastAsia="仿宋_GB2312"/>
          <w:b w:val="0"/>
        </w:rPr>
        <w:t>二、在</w:t>
      </w:r>
      <w:r>
        <w:rPr>
          <w:rFonts w:hint="eastAsia" w:ascii="Times New Roman" w:hAnsi="Times New Roman" w:eastAsia="仿宋_GB2312"/>
          <w:b w:val="0"/>
        </w:rPr>
        <w:t>开展校外培训时，</w:t>
      </w:r>
      <w:r>
        <w:rPr>
          <w:rFonts w:hint="eastAsia" w:eastAsia="仿宋_GB2312"/>
          <w:b w:val="0"/>
        </w:rPr>
        <w:t>体育（或体育与健康）、艺术（或音乐、美术）学科，以及综合实践活动（含信息技术教育、劳动与技术教育）等按照非学科类进行管理。</w:t>
      </w:r>
    </w:p>
    <w:p>
      <w:pPr>
        <w:pStyle w:val="2"/>
        <w:numPr>
          <w:ilvl w:val="1"/>
          <w:numId w:val="0"/>
        </w:numPr>
        <w:spacing w:line="520" w:lineRule="exact"/>
        <w:ind w:firstLine="630" w:firstLineChars="200"/>
        <w:rPr>
          <w:rFonts w:hint="eastAsia" w:eastAsia="仿宋_GB2312"/>
          <w:sz w:val="30"/>
          <w:szCs w:val="30"/>
        </w:rPr>
      </w:pPr>
      <w:r>
        <w:rPr>
          <w:rFonts w:hint="eastAsia" w:eastAsia="仿宋_GB2312"/>
          <w:b w:val="0"/>
        </w:rPr>
        <w:t>各地要严格按照国家课程方案和课程标准进行审核把关，加强日常监管和监督检查。</w:t>
      </w:r>
    </w:p>
    <w:p>
      <w:pPr>
        <w:spacing w:line="520" w:lineRule="exact"/>
        <w:rPr>
          <w:rFonts w:eastAsia="仿宋_GB2312"/>
          <w:sz w:val="30"/>
          <w:szCs w:val="30"/>
        </w:rPr>
      </w:pPr>
    </w:p>
    <w:p>
      <w:pPr>
        <w:spacing w:line="520" w:lineRule="exact"/>
        <w:rPr>
          <w:rFonts w:eastAsia="仿宋_GB2312"/>
          <w:sz w:val="30"/>
          <w:szCs w:val="30"/>
        </w:rPr>
      </w:pPr>
      <w:r>
        <w:rPr>
          <w:rFonts w:hint="eastAsia" w:ascii="仿宋_GB2312" w:hAnsi="Times New Roman" w:eastAsia="仿宋_GB2312" w:cs="Times New Roman"/>
          <w:kern w:val="2"/>
          <w:sz w:val="30"/>
          <w:szCs w:val="30"/>
          <w:lang w:val="en-US" w:eastAsia="zh-CN" w:bidi="ar-SA"/>
        </w:rPr>
        <w:pict>
          <v:line id="直线 15" o:spid="_x0000_s1028" style="position:absolute;left:0;margin-left:287pt;margin-top:1477.9pt;height:0.05pt;width:442.2pt;mso-position-horizontal-relative:margin;mso-position-vertical-relative:page;mso-wrap-distance-bottom:0pt;mso-wrap-distance-top:0pt;rotation:0f;z-index:251660288;" o:ole="f" fillcolor="#FFFFFF" filled="f" o:preferrelative="t" stroked="t" coordsize="21600,21600">
            <v:fill on="f" color2="#FFFFFF" focus="0%"/>
            <v:stroke color="#000000" color2="#FFFFFF" miterlimit="2"/>
            <v:imagedata gain="65536f" blacklevel="0f" gamma="0"/>
            <o:lock v:ext="edit" position="f" selection="f" grouping="f" rotation="f" cropping="f" text="f" aspectratio="f"/>
            <w10:wrap type="topAndBottom"/>
          </v:line>
        </w:pict>
      </w:r>
      <w:r>
        <w:rPr>
          <w:rFonts w:hint="eastAsia" w:ascii="仿宋_GB2312" w:hAnsi="Times New Roman" w:eastAsia="仿宋_GB2312" w:cs="Times New Roman"/>
          <w:kern w:val="2"/>
          <w:sz w:val="30"/>
          <w:szCs w:val="30"/>
          <w:lang w:val="en-US" w:eastAsia="zh-CN" w:bidi="ar-SA"/>
        </w:rPr>
        <w:pict>
          <v:line id="直线 16" o:spid="_x0000_s1029" style="position:absolute;left:0;margin-left:287pt;margin-top:1477.9pt;height:0.05pt;width:442.2pt;mso-position-horizontal-relative:margin;mso-position-vertical-relative:page;mso-wrap-distance-bottom:0pt;mso-wrap-distance-top:0pt;rotation:0f;z-index:251659264;" o:ole="f" fillcolor="#FFFFFF" filled="f" o:preferrelative="t" stroked="t" coordsize="21600,21600">
            <v:fill on="f" color2="#FFFFFF" focus="0%"/>
            <v:stroke color="#000000" color2="#FFFFFF" miterlimit="2"/>
            <v:imagedata gain="65536f" blacklevel="0f" gamma="0"/>
            <o:lock v:ext="edit" position="f" selection="f" grouping="f" rotation="f" cropping="f" text="f" aspectratio="f"/>
            <w10:wrap type="topAndBottom"/>
          </v:line>
        </w:pict>
      </w:r>
      <w:r>
        <w:rPr>
          <w:rFonts w:hint="eastAsia" w:ascii="仿宋_GB2312" w:hAnsi="Times New Roman" w:eastAsia="仿宋_GB2312" w:cs="Times New Roman"/>
          <w:kern w:val="2"/>
          <w:sz w:val="30"/>
          <w:szCs w:val="30"/>
          <w:lang w:val="en-US" w:eastAsia="zh-CN" w:bidi="ar-SA"/>
        </w:rPr>
        <w:pict>
          <v:line id="M_ztcline" o:spid="_x0000_s1030" style="position:absolute;left:0;margin-left:287pt;margin-top:1446.7pt;height:0.05pt;width:442.2pt;mso-position-horizontal-relative:margin;mso-position-vertical-relative:page;mso-wrap-distance-bottom:0pt;mso-wrap-distance-top:0pt;rotation:0f;z-index:251658240;" o:ole="f" fillcolor="#FFFFFF" filled="f" o:preferrelative="t" stroked="t" coordsize="21600,21600">
            <v:fill on="f" color2="#FFFFFF" focus="0%"/>
            <v:stroke color="#000000" color2="#FFFFFF" miterlimit="2"/>
            <v:imagedata gain="65536f" blacklevel="0f" gamma="0"/>
            <o:lock v:ext="edit" position="f" selection="f" grouping="f" rotation="f" cropping="f" text="f" aspectratio="f"/>
            <w10:wrap type="topAndBottom"/>
          </v:line>
        </w:pict>
      </w:r>
      <w:r>
        <w:rPr>
          <w:rFonts w:hint="eastAsia" w:ascii="仿宋_GB2312" w:hAnsi="Times New Roman" w:eastAsia="仿宋_GB2312" w:cs="Times New Roman"/>
          <w:kern w:val="2"/>
          <w:sz w:val="30"/>
          <w:szCs w:val="30"/>
          <w:lang w:val="en-US" w:eastAsia="zh-CN" w:bidi="ar-SA"/>
        </w:rPr>
        <w:pict>
          <v:line id="直线 18" o:spid="_x0000_s1031" style="position:absolute;left:0;margin-left:287pt;margin-top:1477.9pt;height:0.05pt;width:442.2pt;mso-position-horizontal-relative:margin;mso-position-vertical-relative:page;mso-wrap-distance-bottom:0pt;mso-wrap-distance-top:0pt;rotation:0f;z-index:251663360;" o:ole="f" fillcolor="#FFFFFF" filled="f" o:preferrelative="t" stroked="t" coordsize="21600,21600">
            <v:fill on="f" color2="#FFFFFF" focus="0%"/>
            <v:stroke color="#000000" color2="#FFFFFF" miterlimit="2"/>
            <v:imagedata gain="65536f" blacklevel="0f" gamma="0"/>
            <o:lock v:ext="edit" position="f" selection="f" grouping="f" rotation="f" cropping="f" text="f" aspectratio="f"/>
            <w10:wrap type="topAndBottom"/>
          </v:line>
        </w:pict>
      </w:r>
      <w:r>
        <w:rPr>
          <w:rFonts w:hint="eastAsia" w:ascii="仿宋_GB2312" w:hAnsi="Times New Roman" w:eastAsia="仿宋_GB2312" w:cs="Times New Roman"/>
          <w:kern w:val="2"/>
          <w:sz w:val="30"/>
          <w:szCs w:val="30"/>
          <w:lang w:val="en-US" w:eastAsia="zh-CN" w:bidi="ar-SA"/>
        </w:rPr>
        <w:pict>
          <v:line id="直线 19" o:spid="_x0000_s1032" style="position:absolute;left:0;margin-left:287pt;margin-top:1477.9pt;height:0.05pt;width:442.2pt;mso-position-horizontal-relative:margin;mso-position-vertical-relative:page;mso-wrap-distance-bottom:0pt;mso-wrap-distance-top:0pt;rotation:0f;z-index:251662336;" o:ole="f" fillcolor="#FFFFFF" filled="f" o:preferrelative="t" stroked="t" coordsize="21600,21600">
            <v:fill on="f" color2="#FFFFFF" focus="0%"/>
            <v:stroke color="#000000" color2="#FFFFFF" miterlimit="2"/>
            <v:imagedata gain="65536f" blacklevel="0f" gamma="0"/>
            <o:lock v:ext="edit" position="f" selection="f" grouping="f" rotation="f" cropping="f" text="f" aspectratio="f"/>
            <w10:wrap type="topAndBottom"/>
          </v:line>
        </w:pict>
      </w:r>
      <w:r>
        <w:rPr>
          <w:rFonts w:hint="eastAsia" w:ascii="仿宋_GB2312" w:hAnsi="Times New Roman" w:eastAsia="仿宋_GB2312" w:cs="Times New Roman"/>
          <w:kern w:val="2"/>
          <w:sz w:val="30"/>
          <w:szCs w:val="30"/>
          <w:lang w:val="en-US" w:eastAsia="zh-CN" w:bidi="ar-SA"/>
        </w:rPr>
        <w:pict>
          <v:line id="直线 20" o:spid="_x0000_s1033" style="position:absolute;left:0;margin-left:287pt;margin-top:1446.7pt;height:0.05pt;width:442.2pt;mso-position-horizontal-relative:margin;mso-position-vertical-relative:page;mso-wrap-distance-bottom:0pt;mso-wrap-distance-top:0pt;rotation:0f;z-index:251661312;" o:ole="f" fillcolor="#FFFFFF" filled="f" o:preferrelative="t" stroked="t" coordsize="21600,21600">
            <v:fill on="f" color2="#FFFFFF" focus="0%"/>
            <v:stroke color="#000000" color2="#FFFFFF" miterlimit="2"/>
            <v:imagedata gain="65536f" blacklevel="0f" gamma="0"/>
            <o:lock v:ext="edit" position="f" selection="f" grouping="f" rotation="f" cropping="f" text="f" aspectratio="f"/>
            <w10:wrap type="topAndBottom"/>
          </v:line>
        </w:pict>
      </w:r>
    </w:p>
    <w:p>
      <w:pPr>
        <w:spacing w:line="520" w:lineRule="exact"/>
        <w:ind w:firstLine="5355" w:firstLineChars="1700"/>
        <w:rPr>
          <w:rFonts w:eastAsia="仿宋_GB2312"/>
          <w:sz w:val="32"/>
          <w:szCs w:val="32"/>
        </w:rPr>
      </w:pPr>
      <w:r>
        <w:rPr>
          <w:rFonts w:eastAsia="仿宋_GB2312"/>
          <w:sz w:val="32"/>
          <w:szCs w:val="32"/>
        </w:rPr>
        <w:t>教育部办公厅</w:t>
      </w:r>
    </w:p>
    <w:p>
      <w:pPr>
        <w:spacing w:line="520" w:lineRule="exact"/>
        <w:ind w:firstLine="5198" w:firstLineChars="1650"/>
        <w:rPr>
          <w:rFonts w:eastAsia="仿宋_GB2312"/>
          <w:sz w:val="32"/>
          <w:szCs w:val="32"/>
        </w:rPr>
      </w:pPr>
      <w:r>
        <w:rPr>
          <w:rFonts w:eastAsia="仿宋_GB2312"/>
          <w:sz w:val="32"/>
          <w:szCs w:val="32"/>
        </w:rPr>
        <w:t>20</w:t>
      </w:r>
      <w:r>
        <w:rPr>
          <w:rFonts w:hint="eastAsia" w:eastAsia="仿宋_GB2312"/>
          <w:sz w:val="32"/>
          <w:szCs w:val="32"/>
        </w:rPr>
        <w:t>21</w:t>
      </w:r>
      <w:r>
        <w:rPr>
          <w:rFonts w:eastAsia="仿宋_GB2312"/>
          <w:sz w:val="32"/>
          <w:szCs w:val="32"/>
        </w:rPr>
        <w:t>年</w:t>
      </w:r>
      <w:r>
        <w:rPr>
          <w:rFonts w:hint="eastAsia" w:eastAsia="仿宋_GB2312"/>
          <w:sz w:val="32"/>
          <w:szCs w:val="32"/>
        </w:rPr>
        <w:t>7</w:t>
      </w:r>
      <w:r>
        <w:rPr>
          <w:rFonts w:eastAsia="仿宋_GB2312"/>
          <w:sz w:val="32"/>
          <w:szCs w:val="32"/>
        </w:rPr>
        <w:t>月</w:t>
      </w:r>
      <w:r>
        <w:rPr>
          <w:rFonts w:hint="eastAsia" w:eastAsia="仿宋_GB2312"/>
          <w:sz w:val="32"/>
          <w:szCs w:val="32"/>
        </w:rPr>
        <w:t>28</w:t>
      </w:r>
      <w:r>
        <w:rPr>
          <w:rFonts w:eastAsia="仿宋_GB2312"/>
          <w:sz w:val="32"/>
          <w:szCs w:val="32"/>
        </w:rPr>
        <w:t>日</w:t>
      </w:r>
    </w:p>
    <w:p>
      <w:pPr>
        <w:pStyle w:val="3"/>
        <w:spacing w:line="520" w:lineRule="exact"/>
        <w:ind w:firstLine="0" w:firstLineChars="0"/>
        <w:rPr>
          <w:rFonts w:hint="eastAsia" w:ascii="黑体" w:hAnsi="黑体" w:eastAsia="黑体" w:cs="黑体"/>
          <w:color w:val="000000"/>
          <w:sz w:val="32"/>
          <w:szCs w:val="32"/>
        </w:rPr>
        <w:sectPr>
          <w:headerReference r:id="rId7" w:type="first"/>
          <w:headerReference r:id="rId5" w:type="default"/>
          <w:footerReference r:id="rId8" w:type="default"/>
          <w:headerReference r:id="rId6" w:type="even"/>
          <w:footerReference r:id="rId9" w:type="even"/>
          <w:pgSz w:w="11907" w:h="16840"/>
          <w:pgMar w:top="2098" w:right="1531" w:bottom="1985" w:left="1531" w:header="851" w:footer="1588" w:gutter="0"/>
          <w:pgNumType w:fmt="numberInDash"/>
          <w:cols w:space="720" w:num="1"/>
          <w:docGrid w:type="linesAndChars" w:linePitch="579" w:charSpace="-1024"/>
        </w:sectPr>
      </w:pPr>
    </w:p>
    <w:p>
      <w:pPr>
        <w:pStyle w:val="3"/>
        <w:ind w:firstLine="0" w:firstLineChars="0"/>
        <w:rPr>
          <w:rFonts w:hint="eastAsia" w:ascii="黑体" w:hAnsi="黑体" w:eastAsia="黑体" w:cs="黑体"/>
          <w:color w:val="000000"/>
          <w:sz w:val="32"/>
          <w:szCs w:val="32"/>
        </w:rPr>
      </w:pPr>
      <w:r>
        <w:rPr>
          <w:rFonts w:hint="eastAsia" w:ascii="黑体" w:hAnsi="黑体" w:eastAsia="黑体" w:cs="黑体"/>
          <w:color w:val="000000"/>
          <w:sz w:val="32"/>
          <w:szCs w:val="32"/>
        </w:rPr>
        <w:t>附件3</w:t>
      </w:r>
    </w:p>
    <w:p>
      <w:pPr>
        <w:pStyle w:val="21"/>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color w:val="000000"/>
          <w:sz w:val="36"/>
          <w:szCs w:val="36"/>
        </w:rPr>
        <w:t>校外培训机构学科和非学科类培训项目鉴别申请表</w:t>
      </w:r>
    </w:p>
    <w:tbl>
      <w:tblPr>
        <w:tblStyle w:val="12"/>
        <w:tblW w:w="848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
      <w:tblGrid>
        <w:gridCol w:w="1627"/>
        <w:gridCol w:w="768"/>
        <w:gridCol w:w="1723"/>
        <w:gridCol w:w="1114"/>
        <w:gridCol w:w="1315"/>
        <w:gridCol w:w="19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486" w:hRule="exact"/>
          <w:jc w:val="center"/>
        </w:trPr>
        <w:tc>
          <w:tcPr>
            <w:tcW w:w="2395" w:type="dxa"/>
            <w:gridSpan w:val="2"/>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机构名称</w:t>
            </w:r>
          </w:p>
        </w:tc>
        <w:tc>
          <w:tcPr>
            <w:tcW w:w="6091" w:type="dxa"/>
            <w:gridSpan w:val="4"/>
            <w:tcBorders>
              <w:top w:val="single" w:color="auto" w:sz="4" w:space="0"/>
              <w:left w:val="single" w:color="auto" w:sz="4" w:space="0"/>
              <w:right w:val="single" w:color="auto" w:sz="4" w:space="0"/>
            </w:tcBorders>
            <w:vAlign w:val="top"/>
          </w:tcPr>
          <w:p>
            <w:pPr>
              <w:rPr>
                <w:rFonts w:hint="eastAsia" w:ascii="仿宋_GB2312" w:hAnsi="仿宋_GB2312" w:eastAsia="仿宋_GB2312" w:cs="仿宋_GB2312"/>
                <w:sz w:val="10"/>
                <w:szCs w:val="1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442" w:hRule="exact"/>
          <w:jc w:val="center"/>
        </w:trPr>
        <w:tc>
          <w:tcPr>
            <w:tcW w:w="2395" w:type="dxa"/>
            <w:gridSpan w:val="2"/>
            <w:tcBorders>
              <w:top w:val="single" w:color="auto" w:sz="4" w:space="0"/>
              <w:left w:val="single" w:color="auto" w:sz="4" w:space="0"/>
            </w:tcBorders>
            <w:vAlign w:val="center"/>
          </w:tcPr>
          <w:p>
            <w:pPr>
              <w:pStyle w:val="22"/>
              <w:spacing w:line="240" w:lineRule="auto"/>
              <w:jc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办学地址</w:t>
            </w:r>
          </w:p>
        </w:tc>
        <w:tc>
          <w:tcPr>
            <w:tcW w:w="6091" w:type="dxa"/>
            <w:gridSpan w:val="4"/>
            <w:tcBorders>
              <w:top w:val="single" w:color="auto" w:sz="4" w:space="0"/>
              <w:left w:val="single" w:color="auto" w:sz="4" w:space="0"/>
              <w:right w:val="single" w:color="auto" w:sz="4" w:space="0"/>
            </w:tcBorders>
            <w:vAlign w:val="center"/>
          </w:tcPr>
          <w:p>
            <w:pPr>
              <w:jc w:val="center"/>
              <w:rPr>
                <w:rFonts w:hint="eastAsia" w:ascii="仿宋_GB2312" w:hAnsi="仿宋_GB2312" w:eastAsia="仿宋_GB2312" w:cs="仿宋_GB2312"/>
                <w:sz w:val="10"/>
                <w:szCs w:val="1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442" w:hRule="exact"/>
          <w:jc w:val="center"/>
        </w:trPr>
        <w:tc>
          <w:tcPr>
            <w:tcW w:w="2395" w:type="dxa"/>
            <w:gridSpan w:val="2"/>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办学内容</w:t>
            </w:r>
          </w:p>
        </w:tc>
        <w:tc>
          <w:tcPr>
            <w:tcW w:w="2837" w:type="dxa"/>
            <w:gridSpan w:val="2"/>
            <w:tcBorders>
              <w:top w:val="single" w:color="auto" w:sz="4" w:space="0"/>
              <w:left w:val="single" w:color="auto" w:sz="4" w:space="0"/>
            </w:tcBorders>
            <w:vAlign w:val="top"/>
          </w:tcPr>
          <w:p>
            <w:pPr>
              <w:rPr>
                <w:rFonts w:hint="eastAsia" w:ascii="仿宋_GB2312" w:hAnsi="仿宋_GB2312" w:eastAsia="仿宋_GB2312" w:cs="仿宋_GB2312"/>
                <w:sz w:val="10"/>
                <w:szCs w:val="10"/>
              </w:rPr>
            </w:pPr>
          </w:p>
        </w:tc>
        <w:tc>
          <w:tcPr>
            <w:tcW w:w="1315" w:type="dxa"/>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机构性质</w:t>
            </w:r>
          </w:p>
        </w:tc>
        <w:tc>
          <w:tcPr>
            <w:tcW w:w="1939" w:type="dxa"/>
            <w:tcBorders>
              <w:top w:val="single" w:color="auto" w:sz="4" w:space="0"/>
              <w:left w:val="single" w:color="auto" w:sz="4" w:space="0"/>
              <w:right w:val="single" w:color="auto" w:sz="4" w:space="0"/>
            </w:tcBorders>
            <w:vAlign w:val="top"/>
          </w:tcPr>
          <w:p>
            <w:pPr>
              <w:rPr>
                <w:rFonts w:hint="eastAsia" w:ascii="仿宋_GB2312" w:hAnsi="仿宋_GB2312" w:eastAsia="仿宋_GB2312" w:cs="仿宋_GB2312"/>
                <w:sz w:val="10"/>
                <w:szCs w:val="1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489" w:hRule="exact"/>
          <w:jc w:val="center"/>
        </w:trPr>
        <w:tc>
          <w:tcPr>
            <w:tcW w:w="2395" w:type="dxa"/>
            <w:gridSpan w:val="2"/>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拟认定培训项目</w:t>
            </w:r>
          </w:p>
        </w:tc>
        <w:tc>
          <w:tcPr>
            <w:tcW w:w="2837" w:type="dxa"/>
            <w:gridSpan w:val="2"/>
            <w:tcBorders>
              <w:top w:val="single" w:color="auto" w:sz="4" w:space="0"/>
              <w:left w:val="single" w:color="auto" w:sz="4" w:space="0"/>
            </w:tcBorders>
            <w:vAlign w:val="top"/>
          </w:tcPr>
          <w:p>
            <w:pPr>
              <w:rPr>
                <w:rFonts w:hint="eastAsia" w:ascii="仿宋_GB2312" w:hAnsi="仿宋_GB2312" w:eastAsia="仿宋_GB2312" w:cs="仿宋_GB2312"/>
                <w:sz w:val="10"/>
                <w:szCs w:val="10"/>
              </w:rPr>
            </w:pPr>
          </w:p>
        </w:tc>
        <w:tc>
          <w:tcPr>
            <w:tcW w:w="1315" w:type="dxa"/>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招生对象</w:t>
            </w:r>
          </w:p>
        </w:tc>
        <w:tc>
          <w:tcPr>
            <w:tcW w:w="1939" w:type="dxa"/>
            <w:tcBorders>
              <w:top w:val="single" w:color="auto" w:sz="4" w:space="0"/>
              <w:left w:val="single" w:color="auto" w:sz="4" w:space="0"/>
              <w:right w:val="single" w:color="auto" w:sz="4" w:space="0"/>
            </w:tcBorders>
            <w:vAlign w:val="top"/>
          </w:tcPr>
          <w:p>
            <w:pPr>
              <w:rPr>
                <w:rFonts w:hint="eastAsia" w:ascii="仿宋_GB2312" w:hAnsi="仿宋_GB2312" w:eastAsia="仿宋_GB2312" w:cs="仿宋_GB2312"/>
                <w:sz w:val="10"/>
                <w:szCs w:val="1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517" w:hRule="exact"/>
          <w:jc w:val="center"/>
        </w:trPr>
        <w:tc>
          <w:tcPr>
            <w:tcW w:w="2395" w:type="dxa"/>
            <w:gridSpan w:val="2"/>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机构负责人</w:t>
            </w:r>
          </w:p>
        </w:tc>
        <w:tc>
          <w:tcPr>
            <w:tcW w:w="2837" w:type="dxa"/>
            <w:gridSpan w:val="2"/>
            <w:tcBorders>
              <w:top w:val="single" w:color="auto" w:sz="4" w:space="0"/>
              <w:left w:val="single" w:color="auto" w:sz="4" w:space="0"/>
            </w:tcBorders>
            <w:vAlign w:val="top"/>
          </w:tcPr>
          <w:p>
            <w:pPr>
              <w:rPr>
                <w:rFonts w:hint="eastAsia" w:ascii="仿宋_GB2312" w:hAnsi="仿宋_GB2312" w:eastAsia="仿宋_GB2312" w:cs="仿宋_GB2312"/>
                <w:sz w:val="10"/>
                <w:szCs w:val="10"/>
              </w:rPr>
            </w:pPr>
          </w:p>
        </w:tc>
        <w:tc>
          <w:tcPr>
            <w:tcW w:w="1315" w:type="dxa"/>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联系电话</w:t>
            </w:r>
          </w:p>
        </w:tc>
        <w:tc>
          <w:tcPr>
            <w:tcW w:w="1939" w:type="dxa"/>
            <w:tcBorders>
              <w:top w:val="single" w:color="auto" w:sz="4" w:space="0"/>
              <w:left w:val="single" w:color="auto" w:sz="4" w:space="0"/>
              <w:right w:val="single" w:color="auto" w:sz="4" w:space="0"/>
            </w:tcBorders>
            <w:vAlign w:val="top"/>
          </w:tcPr>
          <w:p>
            <w:pPr>
              <w:rPr>
                <w:rFonts w:hint="eastAsia" w:ascii="仿宋_GB2312" w:hAnsi="仿宋_GB2312" w:eastAsia="仿宋_GB2312" w:cs="仿宋_GB2312"/>
                <w:sz w:val="10"/>
                <w:szCs w:val="1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542" w:hRule="exact"/>
          <w:jc w:val="center"/>
        </w:trPr>
        <w:tc>
          <w:tcPr>
            <w:tcW w:w="5232" w:type="dxa"/>
            <w:gridSpan w:val="4"/>
            <w:tcBorders>
              <w:top w:val="single" w:color="auto" w:sz="4" w:space="0"/>
              <w:left w:val="single" w:color="auto" w:sz="4" w:space="0"/>
            </w:tcBorders>
            <w:vAlign w:val="center"/>
          </w:tcPr>
          <w:p>
            <w:pPr>
              <w:pStyle w:val="22"/>
              <w:spacing w:line="260" w:lineRule="exact"/>
              <w:jc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属于连锁机构的，是否在其他区域提交申请</w:t>
            </w:r>
          </w:p>
          <w:p>
            <w:pPr>
              <w:pStyle w:val="22"/>
              <w:spacing w:line="26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（是/否，区域名称）</w:t>
            </w:r>
          </w:p>
        </w:tc>
        <w:tc>
          <w:tcPr>
            <w:tcW w:w="3254" w:type="dxa"/>
            <w:gridSpan w:val="2"/>
            <w:tcBorders>
              <w:top w:val="single" w:color="auto" w:sz="4" w:space="0"/>
              <w:left w:val="single" w:color="auto" w:sz="4" w:space="0"/>
              <w:right w:val="single" w:color="auto" w:sz="4" w:space="0"/>
            </w:tcBorders>
            <w:vAlign w:val="top"/>
          </w:tcPr>
          <w:p>
            <w:pPr>
              <w:rPr>
                <w:rFonts w:hint="eastAsia" w:ascii="仿宋_GB2312" w:hAnsi="仿宋_GB2312" w:eastAsia="仿宋_GB2312" w:cs="仿宋_GB2312"/>
                <w:sz w:val="10"/>
                <w:szCs w:val="1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494" w:hRule="exact"/>
          <w:jc w:val="center"/>
        </w:trPr>
        <w:tc>
          <w:tcPr>
            <w:tcW w:w="8486" w:type="dxa"/>
            <w:gridSpan w:val="6"/>
            <w:tcBorders>
              <w:top w:val="single" w:color="auto" w:sz="4" w:space="0"/>
              <w:left w:val="single" w:color="auto" w:sz="4" w:space="0"/>
              <w:righ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提交材料清单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471" w:hRule="exact"/>
          <w:jc w:val="center"/>
        </w:trPr>
        <w:tc>
          <w:tcPr>
            <w:tcW w:w="1627" w:type="dxa"/>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编号</w:t>
            </w:r>
          </w:p>
        </w:tc>
        <w:tc>
          <w:tcPr>
            <w:tcW w:w="2491" w:type="dxa"/>
            <w:gridSpan w:val="2"/>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材料名称</w:t>
            </w:r>
          </w:p>
        </w:tc>
        <w:tc>
          <w:tcPr>
            <w:tcW w:w="1114" w:type="dxa"/>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份数</w:t>
            </w:r>
          </w:p>
        </w:tc>
        <w:tc>
          <w:tcPr>
            <w:tcW w:w="1315" w:type="dxa"/>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材料形式</w:t>
            </w:r>
          </w:p>
        </w:tc>
        <w:tc>
          <w:tcPr>
            <w:tcW w:w="1939" w:type="dxa"/>
            <w:tcBorders>
              <w:top w:val="single" w:color="auto" w:sz="4" w:space="0"/>
              <w:left w:val="single" w:color="auto" w:sz="4" w:space="0"/>
              <w:righ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465" w:hRule="exact"/>
          <w:jc w:val="center"/>
        </w:trPr>
        <w:tc>
          <w:tcPr>
            <w:tcW w:w="1627" w:type="dxa"/>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1</w:t>
            </w:r>
          </w:p>
        </w:tc>
        <w:tc>
          <w:tcPr>
            <w:tcW w:w="2491" w:type="dxa"/>
            <w:gridSpan w:val="2"/>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教学计划安排详表</w:t>
            </w:r>
          </w:p>
        </w:tc>
        <w:tc>
          <w:tcPr>
            <w:tcW w:w="1114" w:type="dxa"/>
            <w:tcBorders>
              <w:top w:val="single" w:color="auto" w:sz="4" w:space="0"/>
              <w:left w:val="single" w:color="auto" w:sz="4" w:space="0"/>
            </w:tcBorders>
            <w:vAlign w:val="top"/>
          </w:tcPr>
          <w:p>
            <w:pPr>
              <w:rPr>
                <w:rFonts w:hint="eastAsia" w:ascii="仿宋_GB2312" w:hAnsi="仿宋_GB2312" w:eastAsia="仿宋_GB2312" w:cs="仿宋_GB2312"/>
                <w:sz w:val="10"/>
                <w:szCs w:val="10"/>
              </w:rPr>
            </w:pPr>
          </w:p>
        </w:tc>
        <w:tc>
          <w:tcPr>
            <w:tcW w:w="1315" w:type="dxa"/>
            <w:tcBorders>
              <w:top w:val="single" w:color="auto" w:sz="4" w:space="0"/>
              <w:left w:val="single" w:color="auto" w:sz="4" w:space="0"/>
            </w:tcBorders>
            <w:vAlign w:val="top"/>
          </w:tcPr>
          <w:p>
            <w:pPr>
              <w:rPr>
                <w:rFonts w:hint="eastAsia" w:ascii="仿宋_GB2312" w:hAnsi="仿宋_GB2312" w:eastAsia="仿宋_GB2312" w:cs="仿宋_GB2312"/>
                <w:sz w:val="10"/>
                <w:szCs w:val="10"/>
              </w:rPr>
            </w:pPr>
          </w:p>
        </w:tc>
        <w:tc>
          <w:tcPr>
            <w:tcW w:w="1939" w:type="dxa"/>
            <w:tcBorders>
              <w:top w:val="single" w:color="auto" w:sz="4" w:space="0"/>
              <w:left w:val="single" w:color="auto" w:sz="4" w:space="0"/>
              <w:right w:val="single" w:color="auto" w:sz="4" w:space="0"/>
            </w:tcBorders>
            <w:vAlign w:val="top"/>
          </w:tcPr>
          <w:p>
            <w:pPr>
              <w:rPr>
                <w:rFonts w:hint="eastAsia" w:ascii="仿宋_GB2312" w:hAnsi="仿宋_GB2312" w:eastAsia="仿宋_GB2312" w:cs="仿宋_GB2312"/>
                <w:sz w:val="10"/>
                <w:szCs w:val="1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466" w:hRule="exact"/>
          <w:jc w:val="center"/>
        </w:trPr>
        <w:tc>
          <w:tcPr>
            <w:tcW w:w="1627" w:type="dxa"/>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2</w:t>
            </w:r>
          </w:p>
        </w:tc>
        <w:tc>
          <w:tcPr>
            <w:tcW w:w="2491" w:type="dxa"/>
            <w:gridSpan w:val="2"/>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教材教辅</w:t>
            </w:r>
          </w:p>
        </w:tc>
        <w:tc>
          <w:tcPr>
            <w:tcW w:w="1114" w:type="dxa"/>
            <w:tcBorders>
              <w:top w:val="single" w:color="auto" w:sz="4" w:space="0"/>
              <w:left w:val="single" w:color="auto" w:sz="4" w:space="0"/>
            </w:tcBorders>
            <w:vAlign w:val="top"/>
          </w:tcPr>
          <w:p>
            <w:pPr>
              <w:rPr>
                <w:rFonts w:hint="eastAsia" w:ascii="仿宋_GB2312" w:hAnsi="仿宋_GB2312" w:eastAsia="仿宋_GB2312" w:cs="仿宋_GB2312"/>
                <w:sz w:val="10"/>
                <w:szCs w:val="10"/>
              </w:rPr>
            </w:pPr>
          </w:p>
        </w:tc>
        <w:tc>
          <w:tcPr>
            <w:tcW w:w="1315" w:type="dxa"/>
            <w:tcBorders>
              <w:top w:val="single" w:color="auto" w:sz="4" w:space="0"/>
              <w:left w:val="single" w:color="auto" w:sz="4" w:space="0"/>
            </w:tcBorders>
            <w:vAlign w:val="top"/>
          </w:tcPr>
          <w:p>
            <w:pPr>
              <w:rPr>
                <w:rFonts w:hint="eastAsia" w:ascii="仿宋_GB2312" w:hAnsi="仿宋_GB2312" w:eastAsia="仿宋_GB2312" w:cs="仿宋_GB2312"/>
                <w:sz w:val="10"/>
                <w:szCs w:val="10"/>
              </w:rPr>
            </w:pPr>
          </w:p>
        </w:tc>
        <w:tc>
          <w:tcPr>
            <w:tcW w:w="1939" w:type="dxa"/>
            <w:tcBorders>
              <w:top w:val="single" w:color="auto" w:sz="4" w:space="0"/>
              <w:left w:val="single" w:color="auto" w:sz="4" w:space="0"/>
              <w:right w:val="single" w:color="auto" w:sz="4" w:space="0"/>
            </w:tcBorders>
            <w:vAlign w:val="top"/>
          </w:tcPr>
          <w:p>
            <w:pPr>
              <w:rPr>
                <w:rFonts w:hint="eastAsia" w:ascii="仿宋_GB2312" w:hAnsi="仿宋_GB2312" w:eastAsia="仿宋_GB2312" w:cs="仿宋_GB2312"/>
                <w:sz w:val="10"/>
                <w:szCs w:val="1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459" w:hRule="exact"/>
          <w:jc w:val="center"/>
        </w:trPr>
        <w:tc>
          <w:tcPr>
            <w:tcW w:w="1627" w:type="dxa"/>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3</w:t>
            </w:r>
          </w:p>
        </w:tc>
        <w:tc>
          <w:tcPr>
            <w:tcW w:w="2491" w:type="dxa"/>
            <w:gridSpan w:val="2"/>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学员阶段性评价方式</w:t>
            </w:r>
          </w:p>
        </w:tc>
        <w:tc>
          <w:tcPr>
            <w:tcW w:w="1114" w:type="dxa"/>
            <w:tcBorders>
              <w:top w:val="single" w:color="auto" w:sz="4" w:space="0"/>
              <w:left w:val="single" w:color="auto" w:sz="4" w:space="0"/>
            </w:tcBorders>
            <w:vAlign w:val="top"/>
          </w:tcPr>
          <w:p>
            <w:pPr>
              <w:rPr>
                <w:rFonts w:hint="eastAsia" w:ascii="仿宋_GB2312" w:hAnsi="仿宋_GB2312" w:eastAsia="仿宋_GB2312" w:cs="仿宋_GB2312"/>
                <w:sz w:val="10"/>
                <w:szCs w:val="10"/>
              </w:rPr>
            </w:pPr>
          </w:p>
        </w:tc>
        <w:tc>
          <w:tcPr>
            <w:tcW w:w="1315" w:type="dxa"/>
            <w:tcBorders>
              <w:top w:val="single" w:color="auto" w:sz="4" w:space="0"/>
              <w:left w:val="single" w:color="auto" w:sz="4" w:space="0"/>
            </w:tcBorders>
            <w:vAlign w:val="top"/>
          </w:tcPr>
          <w:p>
            <w:pPr>
              <w:rPr>
                <w:rFonts w:hint="eastAsia" w:ascii="仿宋_GB2312" w:hAnsi="仿宋_GB2312" w:eastAsia="仿宋_GB2312" w:cs="仿宋_GB2312"/>
                <w:sz w:val="10"/>
                <w:szCs w:val="10"/>
              </w:rPr>
            </w:pPr>
          </w:p>
        </w:tc>
        <w:tc>
          <w:tcPr>
            <w:tcW w:w="1939" w:type="dxa"/>
            <w:tcBorders>
              <w:top w:val="single" w:color="auto" w:sz="4" w:space="0"/>
              <w:left w:val="single" w:color="auto" w:sz="4" w:space="0"/>
              <w:right w:val="single" w:color="auto" w:sz="4" w:space="0"/>
            </w:tcBorders>
            <w:vAlign w:val="top"/>
          </w:tcPr>
          <w:p>
            <w:pPr>
              <w:rPr>
                <w:rFonts w:hint="eastAsia" w:ascii="仿宋_GB2312" w:hAnsi="仿宋_GB2312" w:eastAsia="仿宋_GB2312" w:cs="仿宋_GB2312"/>
                <w:sz w:val="10"/>
                <w:szCs w:val="1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455" w:hRule="exact"/>
          <w:jc w:val="center"/>
        </w:trPr>
        <w:tc>
          <w:tcPr>
            <w:tcW w:w="1627" w:type="dxa"/>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4</w:t>
            </w:r>
          </w:p>
        </w:tc>
        <w:tc>
          <w:tcPr>
            <w:tcW w:w="2491" w:type="dxa"/>
            <w:gridSpan w:val="2"/>
            <w:tcBorders>
              <w:top w:val="single" w:color="auto" w:sz="4" w:space="0"/>
              <w:left w:val="single" w:color="auto" w:sz="4" w:space="0"/>
            </w:tcBorders>
            <w:vAlign w:val="bottom"/>
          </w:tcPr>
          <w:p>
            <w:pPr>
              <w:pStyle w:val="22"/>
              <w:spacing w:line="240" w:lineRule="auto"/>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其他材料</w:t>
            </w:r>
          </w:p>
        </w:tc>
        <w:tc>
          <w:tcPr>
            <w:tcW w:w="1114" w:type="dxa"/>
            <w:tcBorders>
              <w:top w:val="single" w:color="auto" w:sz="4" w:space="0"/>
              <w:left w:val="single" w:color="auto" w:sz="4" w:space="0"/>
            </w:tcBorders>
            <w:vAlign w:val="top"/>
          </w:tcPr>
          <w:p>
            <w:pPr>
              <w:rPr>
                <w:rFonts w:hint="eastAsia" w:ascii="仿宋_GB2312" w:hAnsi="仿宋_GB2312" w:eastAsia="仿宋_GB2312" w:cs="仿宋_GB2312"/>
                <w:sz w:val="10"/>
                <w:szCs w:val="10"/>
              </w:rPr>
            </w:pPr>
          </w:p>
        </w:tc>
        <w:tc>
          <w:tcPr>
            <w:tcW w:w="1315" w:type="dxa"/>
            <w:tcBorders>
              <w:top w:val="single" w:color="auto" w:sz="4" w:space="0"/>
              <w:left w:val="single" w:color="auto" w:sz="4" w:space="0"/>
            </w:tcBorders>
            <w:vAlign w:val="top"/>
          </w:tcPr>
          <w:p>
            <w:pPr>
              <w:rPr>
                <w:rFonts w:hint="eastAsia" w:ascii="仿宋_GB2312" w:hAnsi="仿宋_GB2312" w:eastAsia="仿宋_GB2312" w:cs="仿宋_GB2312"/>
                <w:sz w:val="10"/>
                <w:szCs w:val="10"/>
              </w:rPr>
            </w:pPr>
          </w:p>
        </w:tc>
        <w:tc>
          <w:tcPr>
            <w:tcW w:w="1939" w:type="dxa"/>
            <w:tcBorders>
              <w:top w:val="single" w:color="auto" w:sz="4" w:space="0"/>
              <w:left w:val="single" w:color="auto" w:sz="4" w:space="0"/>
              <w:right w:val="single" w:color="auto" w:sz="4" w:space="0"/>
            </w:tcBorders>
            <w:vAlign w:val="top"/>
          </w:tcPr>
          <w:p>
            <w:pPr>
              <w:rPr>
                <w:rFonts w:hint="eastAsia" w:ascii="仿宋_GB2312" w:hAnsi="仿宋_GB2312" w:eastAsia="仿宋_GB2312" w:cs="仿宋_GB2312"/>
                <w:sz w:val="10"/>
                <w:szCs w:val="1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953" w:hRule="exact"/>
          <w:jc w:val="center"/>
        </w:trPr>
        <w:tc>
          <w:tcPr>
            <w:tcW w:w="8486" w:type="dxa"/>
            <w:gridSpan w:val="6"/>
            <w:tcBorders>
              <w:top w:val="single" w:color="auto" w:sz="4" w:space="0"/>
              <w:left w:val="single" w:color="auto" w:sz="4" w:space="0"/>
              <w:right w:val="single" w:color="auto" w:sz="4" w:space="0"/>
            </w:tcBorders>
            <w:vAlign w:val="top"/>
          </w:tcPr>
          <w:p>
            <w:pPr>
              <w:pStyle w:val="22"/>
              <w:spacing w:line="240" w:lineRule="auto"/>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申报情况说明（请另附页）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2084" w:hRule="exact"/>
          <w:jc w:val="center"/>
        </w:trPr>
        <w:tc>
          <w:tcPr>
            <w:tcW w:w="8486" w:type="dxa"/>
            <w:gridSpan w:val="6"/>
            <w:tcBorders>
              <w:top w:val="single" w:color="auto" w:sz="4" w:space="0"/>
              <w:left w:val="single" w:color="auto" w:sz="4" w:space="0"/>
              <w:right w:val="single" w:color="auto" w:sz="4" w:space="0"/>
            </w:tcBorders>
            <w:vAlign w:val="top"/>
          </w:tcPr>
          <w:p>
            <w:pPr>
              <w:pStyle w:val="22"/>
              <w:spacing w:line="260" w:lineRule="exact"/>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本机构承诺：</w:t>
            </w:r>
          </w:p>
          <w:p>
            <w:pPr>
              <w:pStyle w:val="22"/>
              <w:spacing w:line="260" w:lineRule="exact"/>
              <w:ind w:firstLine="420"/>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保证所有申请材料真实可靠，与实际教学情形相符。主动接受教育等相关部门现场验 收或日常检查。如申请材料与实际培训项目不符，引起的一切后果，愿承担全部责任，接受处罚。</w:t>
            </w:r>
          </w:p>
          <w:p>
            <w:pPr>
              <w:pStyle w:val="22"/>
              <w:spacing w:line="260" w:lineRule="exact"/>
              <w:ind w:firstLine="420"/>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特此承诺。</w:t>
            </w:r>
          </w:p>
          <w:p>
            <w:pPr>
              <w:pStyle w:val="22"/>
              <w:spacing w:line="260" w:lineRule="exact"/>
              <w:ind w:left="4160"/>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承诺单位（盖章）：</w:t>
            </w:r>
          </w:p>
          <w:p>
            <w:pPr>
              <w:pStyle w:val="22"/>
              <w:spacing w:line="260" w:lineRule="exact"/>
              <w:ind w:left="4160"/>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法定代表人或校长（签字）：</w:t>
            </w:r>
          </w:p>
          <w:p>
            <w:pPr>
              <w:pStyle w:val="22"/>
              <w:spacing w:line="260" w:lineRule="exact"/>
              <w:ind w:right="200" w:firstLine="6820" w:firstLineChars="3100"/>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 xml:space="preserve">年 </w:t>
            </w:r>
            <w:r>
              <w:rPr>
                <w:rFonts w:hint="eastAsia" w:ascii="仿宋_GB2312" w:hAnsi="仿宋_GB2312" w:eastAsia="仿宋_GB2312" w:cs="仿宋_GB2312"/>
                <w:color w:val="000000"/>
                <w:sz w:val="22"/>
                <w:szCs w:val="22"/>
                <w:lang w:val="en-US"/>
              </w:rPr>
              <w:t xml:space="preserve"> </w:t>
            </w:r>
            <w:r>
              <w:rPr>
                <w:rFonts w:hint="eastAsia" w:ascii="仿宋_GB2312" w:hAnsi="仿宋_GB2312" w:eastAsia="仿宋_GB2312" w:cs="仿宋_GB2312"/>
                <w:color w:val="000000"/>
                <w:sz w:val="22"/>
                <w:szCs w:val="22"/>
              </w:rPr>
              <w:t>月</w:t>
            </w:r>
            <w:r>
              <w:rPr>
                <w:rFonts w:hint="eastAsia" w:ascii="仿宋_GB2312" w:hAnsi="仿宋_GB2312" w:eastAsia="仿宋_GB2312" w:cs="仿宋_GB2312"/>
                <w:color w:val="000000"/>
                <w:sz w:val="22"/>
                <w:szCs w:val="22"/>
                <w:lang w:val="en-US"/>
              </w:rPr>
              <w:t xml:space="preserve">  </w:t>
            </w:r>
            <w:r>
              <w:rPr>
                <w:rFonts w:hint="eastAsia" w:ascii="仿宋_GB2312" w:hAnsi="仿宋_GB2312" w:eastAsia="仿宋_GB2312" w:cs="仿宋_GB2312"/>
                <w:color w:val="000000"/>
                <w:sz w:val="22"/>
                <w:szCs w:val="22"/>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1296" w:hRule="exact"/>
          <w:jc w:val="center"/>
        </w:trPr>
        <w:tc>
          <w:tcPr>
            <w:tcW w:w="1627" w:type="dxa"/>
            <w:tcBorders>
              <w:top w:val="single" w:color="auto" w:sz="4" w:space="0"/>
              <w:left w:val="single" w:color="auto" w:sz="4" w:space="0"/>
            </w:tcBorders>
            <w:vAlign w:val="center"/>
          </w:tcPr>
          <w:p>
            <w:pPr>
              <w:pStyle w:val="22"/>
              <w:spacing w:line="360" w:lineRule="exact"/>
              <w:jc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专家组意见</w:t>
            </w:r>
          </w:p>
          <w:p>
            <w:pPr>
              <w:pStyle w:val="22"/>
              <w:spacing w:line="36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（三位及以上）</w:t>
            </w:r>
          </w:p>
        </w:tc>
        <w:tc>
          <w:tcPr>
            <w:tcW w:w="6859" w:type="dxa"/>
            <w:gridSpan w:val="5"/>
            <w:tcBorders>
              <w:top w:val="single" w:color="auto" w:sz="4" w:space="0"/>
              <w:left w:val="single" w:color="auto" w:sz="4" w:space="0"/>
              <w:right w:val="single" w:color="auto" w:sz="4" w:space="0"/>
            </w:tcBorders>
            <w:vAlign w:val="bottom"/>
          </w:tcPr>
          <w:p>
            <w:pPr>
              <w:pStyle w:val="22"/>
              <w:spacing w:line="223" w:lineRule="auto"/>
              <w:ind w:firstLine="420"/>
              <w:jc w:val="left"/>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 xml:space="preserve">签名： </w:t>
            </w:r>
            <w:r>
              <w:rPr>
                <w:rFonts w:hint="eastAsia" w:ascii="仿宋_GB2312" w:hAnsi="仿宋_GB2312" w:eastAsia="仿宋_GB2312" w:cs="仿宋_GB2312"/>
                <w:color w:val="000000"/>
                <w:sz w:val="22"/>
                <w:szCs w:val="22"/>
                <w:lang w:val="en-US"/>
              </w:rPr>
              <w:t xml:space="preserve">                                    </w:t>
            </w:r>
            <w:r>
              <w:rPr>
                <w:rFonts w:hint="eastAsia" w:ascii="仿宋_GB2312" w:hAnsi="仿宋_GB2312" w:eastAsia="仿宋_GB2312" w:cs="仿宋_GB2312"/>
                <w:color w:val="000000"/>
                <w:sz w:val="22"/>
                <w:szCs w:val="22"/>
              </w:rPr>
              <w:t>年</w:t>
            </w:r>
            <w:r>
              <w:rPr>
                <w:rFonts w:hint="eastAsia" w:ascii="仿宋_GB2312" w:hAnsi="仿宋_GB2312" w:eastAsia="仿宋_GB2312" w:cs="仿宋_GB2312"/>
                <w:color w:val="000000"/>
                <w:sz w:val="22"/>
                <w:szCs w:val="22"/>
                <w:lang w:val="en-US"/>
              </w:rPr>
              <w:t xml:space="preserve"> </w:t>
            </w:r>
            <w:r>
              <w:rPr>
                <w:rFonts w:hint="eastAsia" w:ascii="仿宋_GB2312" w:hAnsi="仿宋_GB2312" w:eastAsia="仿宋_GB2312" w:cs="仿宋_GB2312"/>
                <w:color w:val="000000"/>
                <w:sz w:val="22"/>
                <w:szCs w:val="22"/>
              </w:rPr>
              <w:t xml:space="preserve"> 月</w:t>
            </w:r>
            <w:r>
              <w:rPr>
                <w:rFonts w:hint="eastAsia" w:ascii="仿宋_GB2312" w:hAnsi="仿宋_GB2312" w:eastAsia="仿宋_GB2312" w:cs="仿宋_GB2312"/>
                <w:color w:val="000000"/>
                <w:sz w:val="22"/>
                <w:szCs w:val="22"/>
                <w:lang w:val="en-US"/>
              </w:rPr>
              <w:t xml:space="preserve">  </w:t>
            </w:r>
            <w:r>
              <w:rPr>
                <w:rFonts w:hint="eastAsia" w:ascii="仿宋_GB2312" w:hAnsi="仿宋_GB2312" w:eastAsia="仿宋_GB2312" w:cs="仿宋_GB2312"/>
                <w:color w:val="000000"/>
                <w:sz w:val="22"/>
                <w:szCs w:val="22"/>
              </w:rPr>
              <w:t>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PrEx>
        <w:trPr>
          <w:trHeight w:val="1149" w:hRule="exact"/>
          <w:jc w:val="center"/>
        </w:trPr>
        <w:tc>
          <w:tcPr>
            <w:tcW w:w="1627" w:type="dxa"/>
            <w:tcBorders>
              <w:top w:val="single" w:color="auto" w:sz="4" w:space="0"/>
              <w:left w:val="single" w:color="auto" w:sz="4" w:space="0"/>
              <w:bottom w:val="single" w:color="auto" w:sz="4" w:space="0"/>
            </w:tcBorders>
            <w:vAlign w:val="center"/>
          </w:tcPr>
          <w:p>
            <w:pPr>
              <w:pStyle w:val="22"/>
              <w:spacing w:line="36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审核结论</w:t>
            </w:r>
          </w:p>
          <w:p>
            <w:pPr>
              <w:pStyle w:val="22"/>
              <w:spacing w:line="36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（业务主管部 门）</w:t>
            </w:r>
          </w:p>
        </w:tc>
        <w:tc>
          <w:tcPr>
            <w:tcW w:w="6859" w:type="dxa"/>
            <w:gridSpan w:val="5"/>
            <w:tcBorders>
              <w:top w:val="single" w:color="auto" w:sz="4" w:space="0"/>
              <w:left w:val="single" w:color="auto" w:sz="4" w:space="0"/>
              <w:bottom w:val="single" w:color="auto" w:sz="4" w:space="0"/>
              <w:right w:val="single" w:color="auto" w:sz="4" w:space="0"/>
            </w:tcBorders>
            <w:vAlign w:val="bottom"/>
          </w:tcPr>
          <w:p>
            <w:pPr>
              <w:pStyle w:val="22"/>
              <w:spacing w:line="240" w:lineRule="auto"/>
              <w:ind w:left="5260"/>
              <w:jc w:val="left"/>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rPr>
              <w:t>（盖章）</w:t>
            </w:r>
          </w:p>
          <w:p>
            <w:pPr>
              <w:pStyle w:val="22"/>
              <w:spacing w:line="202" w:lineRule="auto"/>
              <w:ind w:right="360"/>
              <w:jc w:val="center"/>
              <w:rPr>
                <w:rFonts w:hint="eastAsia" w:ascii="仿宋_GB2312" w:hAnsi="仿宋_GB2312" w:eastAsia="仿宋_GB2312" w:cs="仿宋_GB2312"/>
                <w:sz w:val="22"/>
                <w:szCs w:val="22"/>
              </w:rPr>
            </w:pPr>
            <w:r>
              <w:rPr>
                <w:rFonts w:hint="eastAsia" w:ascii="仿宋_GB2312" w:hAnsi="仿宋_GB2312" w:eastAsia="仿宋_GB2312" w:cs="仿宋_GB2312"/>
                <w:color w:val="000000"/>
                <w:sz w:val="22"/>
                <w:szCs w:val="22"/>
                <w:lang w:val="en-US"/>
              </w:rPr>
              <w:t xml:space="preserve">                                           </w:t>
            </w:r>
            <w:r>
              <w:rPr>
                <w:rFonts w:hint="eastAsia" w:ascii="仿宋_GB2312" w:hAnsi="仿宋_GB2312" w:eastAsia="仿宋_GB2312" w:cs="仿宋_GB2312"/>
                <w:color w:val="000000"/>
                <w:sz w:val="22"/>
                <w:szCs w:val="22"/>
              </w:rPr>
              <w:t xml:space="preserve">年 </w:t>
            </w:r>
            <w:r>
              <w:rPr>
                <w:rFonts w:hint="eastAsia" w:ascii="仿宋_GB2312" w:hAnsi="仿宋_GB2312" w:eastAsia="仿宋_GB2312" w:cs="仿宋_GB2312"/>
                <w:color w:val="000000"/>
                <w:sz w:val="22"/>
                <w:szCs w:val="22"/>
                <w:lang w:val="en-US"/>
              </w:rPr>
              <w:t xml:space="preserve">  </w:t>
            </w:r>
            <w:r>
              <w:rPr>
                <w:rFonts w:hint="eastAsia" w:ascii="仿宋_GB2312" w:hAnsi="仿宋_GB2312" w:eastAsia="仿宋_GB2312" w:cs="仿宋_GB2312"/>
                <w:color w:val="000000"/>
                <w:sz w:val="22"/>
                <w:szCs w:val="22"/>
              </w:rPr>
              <w:t>月</w:t>
            </w:r>
            <w:r>
              <w:rPr>
                <w:rFonts w:hint="eastAsia" w:ascii="仿宋_GB2312" w:hAnsi="仿宋_GB2312" w:eastAsia="仿宋_GB2312" w:cs="仿宋_GB2312"/>
                <w:color w:val="000000"/>
                <w:sz w:val="22"/>
                <w:szCs w:val="22"/>
                <w:lang w:val="en-US"/>
              </w:rPr>
              <w:t xml:space="preserve">  </w:t>
            </w:r>
            <w:r>
              <w:rPr>
                <w:rFonts w:hint="eastAsia" w:ascii="仿宋_GB2312" w:hAnsi="仿宋_GB2312" w:eastAsia="仿宋_GB2312" w:cs="仿宋_GB2312"/>
                <w:color w:val="000000"/>
                <w:sz w:val="22"/>
                <w:szCs w:val="22"/>
              </w:rPr>
              <w:t>日</w:t>
            </w:r>
          </w:p>
        </w:tc>
      </w:tr>
    </w:tbl>
    <w:p>
      <w:pPr>
        <w:rPr>
          <w:szCs w:val="32"/>
          <w:shd w:val="clear" w:color="auto" w:fill="FFFFFF"/>
        </w:rPr>
      </w:pPr>
    </w:p>
    <w:sectPr>
      <w:pgSz w:w="11906" w:h="16838"/>
      <w:pgMar w:top="2098"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pPr>
    <w:r>
      <w:rPr>
        <w:rFonts w:ascii="Calibri" w:hAnsi="Calibri" w:eastAsia="宋体" w:cs="黑体"/>
        <w:kern w:val="2"/>
        <w:sz w:val="18"/>
        <w:szCs w:val="18"/>
        <w:lang w:val="en-US" w:eastAsia="zh-CN" w:bidi="ar-SA"/>
      </w:rPr>
      <w:pict>
        <v:shape id="文本框 2" o:spid="_x0000_s1025" type="#_x0000_t202" style="position:absolute;left:0;margin-top:0pt;height:144pt;width:144pt;mso-position-horizontal:outside;mso-position-horizontal-relative:margin;mso-wrap-style:none;rotation:0f;z-index:251658240;"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pStyle w:val="6"/>
                  <w:rPr>
                    <w:rFonts w:eastAsia="宋体"/>
                    <w:sz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ind w:right="360" w:firstLine="360"/>
    </w:pPr>
    <w:r>
      <w:rPr>
        <w:rFonts w:ascii="Calibri" w:hAnsi="Calibri" w:eastAsia="宋体" w:cs="黑体"/>
        <w:kern w:val="2"/>
        <w:sz w:val="18"/>
        <w:szCs w:val="18"/>
        <w:lang w:val="en-US" w:eastAsia="zh-CN" w:bidi="ar-SA"/>
      </w:rPr>
      <w:pict>
        <v:shape id="文本框 3" o:spid="_x0000_s1026" type="#_x0000_t202" style="position:absolute;left:0;margin-top:0pt;height:144pt;width:144pt;mso-position-horizontal:outside;mso-position-horizontal-relative:margin;mso-wrap-style:none;rotation:0f;z-index:251659264;"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- 6 -</w:t>
                </w:r>
                <w:r>
                  <w:rPr>
                    <w:rFonts w:hint="eastAsia" w:ascii="宋体" w:hAnsi="宋体" w:eastAsia="宋体" w:cs="宋体"/>
                    <w:sz w:val="28"/>
                    <w:szCs w:val="2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framePr w:wrap="around" w:vAnchor="text" w:hAnchor="margin" w:xAlign="outside" w:y="1"/>
      <w:adjustRightInd w:val="0"/>
      <w:snapToGrid/>
      <w:ind w:left="210" w:leftChars="100" w:right="210" w:rightChars="100"/>
      <w:rPr>
        <w:rStyle w:val="11"/>
        <w:rFonts w:hint="eastAsia" w:ascii="仿宋_GB2312"/>
        <w:sz w:val="30"/>
        <w:szCs w:val="30"/>
      </w:rPr>
    </w:pPr>
    <w:r>
      <w:rPr>
        <w:rStyle w:val="11"/>
        <w:rFonts w:hint="eastAsia"/>
        <w:sz w:val="30"/>
        <w:szCs w:val="30"/>
      </w:rPr>
      <w:t xml:space="preserve">— </w:t>
    </w:r>
    <w:r>
      <w:rPr>
        <w:rFonts w:hint="eastAsia" w:ascii="仿宋_GB2312"/>
        <w:sz w:val="30"/>
        <w:szCs w:val="30"/>
      </w:rPr>
      <w:fldChar w:fldCharType="begin"/>
    </w:r>
    <w:r>
      <w:rPr>
        <w:rStyle w:val="11"/>
        <w:rFonts w:hint="eastAsia" w:ascii="仿宋_GB2312"/>
        <w:sz w:val="30"/>
        <w:szCs w:val="30"/>
      </w:rPr>
      <w:instrText xml:space="preserve">PAGE  </w:instrText>
    </w:r>
    <w:r>
      <w:rPr>
        <w:rFonts w:hint="eastAsia" w:ascii="仿宋_GB2312"/>
        <w:sz w:val="30"/>
        <w:szCs w:val="30"/>
      </w:rPr>
      <w:fldChar w:fldCharType="separate"/>
    </w:r>
    <w:r>
      <w:rPr>
        <w:rStyle w:val="11"/>
        <w:rFonts w:hint="eastAsia" w:ascii="仿宋_GB2312"/>
        <w:sz w:val="30"/>
        <w:szCs w:val="30"/>
      </w:rPr>
      <w:t>1</w:t>
    </w:r>
    <w:r>
      <w:rPr>
        <w:rFonts w:hint="eastAsia" w:ascii="仿宋_GB2312"/>
        <w:sz w:val="30"/>
        <w:szCs w:val="30"/>
      </w:rPr>
      <w:fldChar w:fldCharType="end"/>
    </w:r>
    <w:r>
      <w:rPr>
        <w:rStyle w:val="11"/>
        <w:rFonts w:hint="eastAsia" w:ascii="仿宋_GB2312"/>
        <w:sz w:val="30"/>
        <w:szCs w:val="30"/>
      </w:rPr>
      <w:t xml:space="preserve"> </w:t>
    </w:r>
    <w:r>
      <w:rPr>
        <w:rStyle w:val="11"/>
        <w:rFonts w:hint="eastAsia"/>
        <w:sz w:val="30"/>
        <w:szCs w:val="30"/>
      </w:rPr>
      <w:t>—</w:t>
    </w:r>
  </w:p>
  <w:p>
    <w:pPr>
      <w:pStyle w:val="6"/>
      <w:ind w:right="360" w:firstLine="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925540559">
    <w:nsid w:val="E9FAFECF"/>
    <w:multiLevelType w:val="singleLevel"/>
    <w:tmpl w:val="E9FAFECF"/>
    <w:lvl w:ilvl="0" w:tentative="1">
      <w:start w:val="1"/>
      <w:numFmt w:val="chineseCounting"/>
      <w:suff w:val="nothing"/>
      <w:lvlText w:val="（%1）"/>
      <w:lvlJc w:val="left"/>
      <w:pPr>
        <w:ind w:left="-13"/>
      </w:pPr>
      <w:rPr>
        <w:rFonts w:hint="eastAsia"/>
        <w:b/>
      </w:rPr>
    </w:lvl>
  </w:abstractNum>
  <w:abstractNum w:abstractNumId="780011250">
    <w:nsid w:val="2E7E06F2"/>
    <w:multiLevelType w:val="multilevel"/>
    <w:tmpl w:val="2E7E06F2"/>
    <w:lvl w:ilvl="0" w:tentative="1">
      <w:start w:val="1"/>
      <w:numFmt w:val="chineseCounting"/>
      <w:suff w:val="nothing"/>
      <w:lvlText w:val="%1、"/>
      <w:lvlJc w:val="left"/>
      <w:pPr>
        <w:ind w:left="0" w:firstLine="0"/>
      </w:pPr>
      <w:rPr>
        <w:rFonts w:hint="eastAsia"/>
      </w:rPr>
    </w:lvl>
    <w:lvl w:ilvl="1" w:tentative="1">
      <w:start w:val="1"/>
      <w:numFmt w:val="chineseCounting"/>
      <w:pStyle w:val="2"/>
      <w:suff w:val="nothing"/>
      <w:lvlText w:val="（%2）"/>
      <w:lvlJc w:val="left"/>
      <w:pPr>
        <w:ind w:left="0" w:firstLine="0"/>
      </w:pPr>
      <w:rPr>
        <w:rFonts w:hint="eastAsia"/>
      </w:rPr>
    </w:lvl>
    <w:lvl w:ilvl="2" w:tentative="1">
      <w:start w:val="1"/>
      <w:numFmt w:val="decimal"/>
      <w:suff w:val="nothing"/>
      <w:lvlText w:val="%3．"/>
      <w:lvlJc w:val="left"/>
      <w:pPr>
        <w:ind w:left="0" w:firstLine="400"/>
      </w:pPr>
      <w:rPr>
        <w:rFonts w:hint="eastAsia"/>
      </w:rPr>
    </w:lvl>
    <w:lvl w:ilvl="3" w:tentative="1">
      <w:start w:val="1"/>
      <w:numFmt w:val="decimal"/>
      <w:suff w:val="nothing"/>
      <w:lvlText w:val="（%4）"/>
      <w:lvlJc w:val="left"/>
      <w:pPr>
        <w:ind w:left="0" w:firstLine="402"/>
      </w:pPr>
      <w:rPr>
        <w:rFonts w:hint="eastAsia"/>
      </w:rPr>
    </w:lvl>
    <w:lvl w:ilvl="4" w:tentative="1">
      <w:start w:val="1"/>
      <w:numFmt w:val="decimalEnclosedCircleChinese"/>
      <w:suff w:val="nothing"/>
      <w:lvlText w:val="%5"/>
      <w:lvlJc w:val="left"/>
      <w:pPr>
        <w:ind w:left="0" w:firstLine="402"/>
      </w:pPr>
      <w:rPr>
        <w:rFonts w:hint="eastAsia"/>
      </w:rPr>
    </w:lvl>
    <w:lvl w:ilvl="5" w:tentative="1">
      <w:start w:val="1"/>
      <w:numFmt w:val="decimal"/>
      <w:suff w:val="nothing"/>
      <w:lvlText w:val="%6）"/>
      <w:lvlJc w:val="left"/>
      <w:pPr>
        <w:ind w:left="0" w:firstLine="402"/>
      </w:pPr>
      <w:rPr>
        <w:rFonts w:hint="eastAsia"/>
      </w:rPr>
    </w:lvl>
    <w:lvl w:ilvl="6" w:tentative="1">
      <w:start w:val="1"/>
      <w:numFmt w:val="lowerLetter"/>
      <w:suff w:val="nothing"/>
      <w:lvlText w:val="%7．"/>
      <w:lvlJc w:val="left"/>
      <w:pPr>
        <w:ind w:left="0" w:firstLine="402"/>
      </w:pPr>
      <w:rPr>
        <w:rFonts w:hint="eastAsia"/>
      </w:rPr>
    </w:lvl>
    <w:lvl w:ilvl="7" w:tentative="1">
      <w:start w:val="1"/>
      <w:numFmt w:val="lowerLetter"/>
      <w:suff w:val="nothing"/>
      <w:lvlText w:val="%8）"/>
      <w:lvlJc w:val="left"/>
      <w:pPr>
        <w:ind w:left="0" w:firstLine="402"/>
      </w:pPr>
      <w:rPr>
        <w:rFonts w:hint="eastAsia"/>
      </w:rPr>
    </w:lvl>
    <w:lvl w:ilvl="8" w:tentative="1">
      <w:start w:val="1"/>
      <w:numFmt w:val="lowerRoman"/>
      <w:suff w:val="nothing"/>
      <w:lvlText w:val="%9 "/>
      <w:lvlJc w:val="left"/>
      <w:pPr>
        <w:ind w:left="0" w:firstLine="402"/>
      </w:pPr>
      <w:rPr>
        <w:rFonts w:hint="eastAsia"/>
      </w:rPr>
    </w:lvl>
  </w:abstractNum>
  <w:num w:numId="1">
    <w:abstractNumId w:val="780011250"/>
  </w:num>
  <w:num w:numId="2">
    <w:abstractNumId w:val="39255405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val="1"/>
  <w:bordersDoNotSurroundFooter w:val="1"/>
  <w:documentProtection w:enforcement="0"/>
  <w:defaultTabStop w:val="420"/>
  <w:drawingGridHorizontalSpacing w:val="103"/>
  <w:drawingGridVerticalSpacing w:val="587"/>
  <w:displayHorizontalDrawingGridEvery w:val="0"/>
  <w:displayVerticalDrawingGridEvery w:val="1"/>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11563"/>
    <w:rsid w:val="00011563"/>
    <w:rsid w:val="0008110F"/>
    <w:rsid w:val="001261B3"/>
    <w:rsid w:val="001C07F5"/>
    <w:rsid w:val="001E6B0D"/>
    <w:rsid w:val="0027763B"/>
    <w:rsid w:val="002F0878"/>
    <w:rsid w:val="003053B4"/>
    <w:rsid w:val="00331DF7"/>
    <w:rsid w:val="00335A86"/>
    <w:rsid w:val="003A2FAA"/>
    <w:rsid w:val="004327E6"/>
    <w:rsid w:val="00450514"/>
    <w:rsid w:val="005710D6"/>
    <w:rsid w:val="00683732"/>
    <w:rsid w:val="006B1212"/>
    <w:rsid w:val="006D2624"/>
    <w:rsid w:val="006D53CB"/>
    <w:rsid w:val="006F4BD9"/>
    <w:rsid w:val="00743ABE"/>
    <w:rsid w:val="008C3FAF"/>
    <w:rsid w:val="008C4701"/>
    <w:rsid w:val="009838E6"/>
    <w:rsid w:val="00CA737A"/>
    <w:rsid w:val="00CC5A7C"/>
    <w:rsid w:val="00D11D13"/>
    <w:rsid w:val="00D46250"/>
    <w:rsid w:val="00D6303E"/>
    <w:rsid w:val="00D8796A"/>
    <w:rsid w:val="00D96B79"/>
    <w:rsid w:val="00DC38FE"/>
    <w:rsid w:val="00FE21C2"/>
    <w:rsid w:val="00FE3B85"/>
    <w:rsid w:val="4D871E8A"/>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semiHidden="0" w:name="header"/>
    <w:lsdException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99"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99"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99"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28"/>
    <w:qFormat/>
    <w:uiPriority w:val="0"/>
    <w:pPr>
      <w:keepNext/>
      <w:keepLines/>
      <w:numPr>
        <w:ilvl w:val="1"/>
        <w:numId w:val="1"/>
      </w:numPr>
      <w:outlineLvl w:val="1"/>
    </w:pPr>
    <w:rPr>
      <w:rFonts w:ascii="黑体" w:hAnsi="黑体" w:eastAsia="黑体" w:cs="宋体"/>
      <w:b/>
      <w:sz w:val="32"/>
      <w:szCs w:val="32"/>
    </w:rPr>
  </w:style>
  <w:style w:type="character" w:default="1" w:styleId="9">
    <w:name w:val="Default Paragraph Font"/>
    <w:unhideWhenUsed/>
    <w:uiPriority w:val="1"/>
  </w:style>
  <w:style w:type="table" w:default="1" w:styleId="12">
    <w:name w:val="Normal Table"/>
    <w:unhideWhenUsed/>
    <w:qFormat/>
    <w:uiPriority w:val="99"/>
    <w:tblPr>
      <w:tblStyle w:val="12"/>
      <w:tblLayout w:type="fixed"/>
      <w:tblCellMar>
        <w:top w:w="0" w:type="dxa"/>
        <w:left w:w="108" w:type="dxa"/>
        <w:bottom w:w="0" w:type="dxa"/>
        <w:right w:w="108" w:type="dxa"/>
      </w:tblCellMar>
    </w:tblPr>
    <w:tcPr>
      <w:textDirection w:val="lrTb"/>
    </w:tcPr>
  </w:style>
  <w:style w:type="paragraph" w:styleId="3">
    <w:name w:val="Body Text First Indent"/>
    <w:basedOn w:val="4"/>
    <w:link w:val="26"/>
    <w:unhideWhenUsed/>
    <w:uiPriority w:val="99"/>
    <w:pPr>
      <w:ind w:firstLine="420" w:firstLineChars="100"/>
    </w:pPr>
  </w:style>
  <w:style w:type="paragraph" w:styleId="4">
    <w:name w:val="Body Text"/>
    <w:basedOn w:val="1"/>
    <w:link w:val="25"/>
    <w:unhideWhenUsed/>
    <w:uiPriority w:val="99"/>
    <w:pPr>
      <w:spacing w:after="120"/>
    </w:pPr>
  </w:style>
  <w:style w:type="paragraph" w:styleId="5">
    <w:name w:val="Plain Text"/>
    <w:basedOn w:val="1"/>
    <w:link w:val="27"/>
    <w:unhideWhenUsed/>
    <w:uiPriority w:val="99"/>
    <w:rPr>
      <w:rFonts w:ascii="宋体" w:hAnsi="Courier New" w:cs="Courier New"/>
      <w:szCs w:val="21"/>
    </w:rPr>
  </w:style>
  <w:style w:type="paragraph" w:styleId="6">
    <w:name w:val="footer"/>
    <w:basedOn w:val="1"/>
    <w:link w:val="24"/>
    <w:unhideWhenUsed/>
    <w:uiPriority w:val="0"/>
    <w:pPr>
      <w:tabs>
        <w:tab w:val="center" w:pos="4153"/>
        <w:tab w:val="right" w:pos="8306"/>
      </w:tabs>
      <w:snapToGrid w:val="0"/>
      <w:jc w:val="left"/>
    </w:pPr>
    <w:rPr>
      <w:rFonts w:ascii="Calibri" w:hAnsi="Calibri" w:eastAsia="宋体" w:cs="黑体"/>
      <w:sz w:val="18"/>
      <w:szCs w:val="18"/>
    </w:rPr>
  </w:style>
  <w:style w:type="paragraph" w:styleId="7">
    <w:name w:val="header"/>
    <w:basedOn w:val="1"/>
    <w:link w:val="23"/>
    <w:unhideWhenUsed/>
    <w:uiPriority w:val="0"/>
    <w:pPr>
      <w:pBdr>
        <w:bottom w:val="single" w:color="auto" w:sz="6" w:space="1"/>
      </w:pBdr>
      <w:tabs>
        <w:tab w:val="center" w:pos="4153"/>
        <w:tab w:val="right" w:pos="8306"/>
      </w:tabs>
      <w:snapToGrid w:val="0"/>
      <w:jc w:val="center"/>
    </w:pPr>
    <w:rPr>
      <w:rFonts w:ascii="Calibri" w:hAnsi="Calibri" w:eastAsia="宋体" w:cs="黑体"/>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0">
    <w:name w:val="Strong"/>
    <w:qFormat/>
    <w:uiPriority w:val="0"/>
    <w:rPr>
      <w:b/>
    </w:rPr>
  </w:style>
  <w:style w:type="character" w:styleId="11">
    <w:name w:val="page number"/>
    <w:basedOn w:val="9"/>
    <w:uiPriority w:val="0"/>
    <w:rPr/>
  </w:style>
  <w:style w:type="paragraph" w:customStyle="1" w:styleId="13">
    <w:name w:val="Char Char Char Char Char Char Char Char Char"/>
    <w:basedOn w:val="1"/>
    <w:uiPriority w:val="0"/>
    <w:pPr>
      <w:widowControl/>
      <w:spacing w:after="160" w:line="240" w:lineRule="exact"/>
      <w:jc w:val="left"/>
    </w:pPr>
    <w:rPr>
      <w:rFonts w:eastAsia="仿宋_GB2312"/>
      <w:sz w:val="32"/>
      <w:szCs w:val="32"/>
    </w:rPr>
  </w:style>
  <w:style w:type="paragraph" w:customStyle="1" w:styleId="14">
    <w:name w:val="p0"/>
    <w:basedOn w:val="1"/>
    <w:qFormat/>
    <w:uiPriority w:val="0"/>
    <w:pPr>
      <w:widowControl/>
      <w:spacing w:before="100" w:beforeAutospacing="1" w:after="100" w:afterAutospacing="1"/>
      <w:jc w:val="left"/>
    </w:pPr>
    <w:rPr>
      <w:rFonts w:ascii="宋体" w:hAnsi="宋体" w:eastAsia="宋体" w:cs="宋体"/>
      <w:sz w:val="24"/>
      <w:szCs w:val="22"/>
    </w:rPr>
  </w:style>
  <w:style w:type="paragraph" w:customStyle="1" w:styleId="15">
    <w:name w:val="默认段落字体 Para Char"/>
    <w:basedOn w:val="1"/>
    <w:uiPriority w:val="0"/>
    <w:pPr>
      <w:keepNext/>
      <w:adjustRightInd w:val="0"/>
      <w:spacing w:before="20" w:after="20"/>
      <w:ind w:firstLine="454"/>
    </w:pPr>
    <w:rPr>
      <w:rFonts w:ascii="Tahoma" w:hAnsi="Tahoma"/>
      <w:color w:val="000000"/>
      <w:sz w:val="24"/>
      <w:szCs w:val="20"/>
    </w:rPr>
  </w:style>
  <w:style w:type="paragraph" w:customStyle="1" w:styleId="16">
    <w:name w:val="新正文"/>
    <w:next w:val="7"/>
    <w:qFormat/>
    <w:uiPriority w:val="0"/>
    <w:rPr>
      <w:rFonts w:ascii="Calibri" w:hAnsi="Calibri" w:eastAsia="宋体" w:cs="黑体"/>
      <w:kern w:val="2"/>
      <w:sz w:val="21"/>
      <w:szCs w:val="22"/>
      <w:lang w:val="en-US" w:eastAsia="zh-CN" w:bidi="ar-SA"/>
    </w:rPr>
  </w:style>
  <w:style w:type="paragraph" w:customStyle="1" w:styleId="17">
    <w:name w:val="Char Char Char Char Char Char Char Char Char1"/>
    <w:basedOn w:val="1"/>
    <w:uiPriority w:val="0"/>
    <w:pPr>
      <w:widowControl/>
      <w:spacing w:after="160" w:line="240" w:lineRule="exact"/>
      <w:jc w:val="left"/>
    </w:pPr>
    <w:rPr>
      <w:rFonts w:eastAsia="仿宋_GB2312"/>
      <w:sz w:val="32"/>
      <w:szCs w:val="32"/>
    </w:rPr>
  </w:style>
  <w:style w:type="paragraph" w:customStyle="1" w:styleId="18">
    <w:name w:val=" Char Char Char Char Char Char Char Char Char"/>
    <w:basedOn w:val="1"/>
    <w:uiPriority w:val="0"/>
    <w:pPr>
      <w:widowControl/>
      <w:spacing w:after="160" w:line="240" w:lineRule="exact"/>
      <w:jc w:val="left"/>
    </w:pPr>
    <w:rPr>
      <w:rFonts w:eastAsia="仿宋_GB2312"/>
      <w:sz w:val="32"/>
      <w:szCs w:val="32"/>
    </w:rPr>
  </w:style>
  <w:style w:type="paragraph" w:customStyle="1" w:styleId="19">
    <w:name w:val="List Paragraph_c5b52ec2-08e3-4dbe-ad89-b9738ee68ca3"/>
    <w:basedOn w:val="1"/>
    <w:qFormat/>
    <w:uiPriority w:val="34"/>
    <w:pPr>
      <w:ind w:firstLine="420"/>
    </w:pPr>
    <w:rPr>
      <w:rFonts w:ascii="Calibri" w:hAnsi="Calibri" w:eastAsia="仿宋_GB2312" w:cs="宋体"/>
      <w:sz w:val="32"/>
      <w:szCs w:val="32"/>
    </w:rPr>
  </w:style>
  <w:style w:type="paragraph" w:customStyle="1" w:styleId="20">
    <w:name w:val="正文文本 (2)"/>
    <w:basedOn w:val="1"/>
    <w:qFormat/>
    <w:uiPriority w:val="0"/>
    <w:pPr>
      <w:shd w:val="clear" w:color="auto" w:fill="FFFFFF"/>
      <w:spacing w:before="660" w:after="240" w:line="0" w:lineRule="atLeast"/>
      <w:jc w:val="right"/>
    </w:pPr>
    <w:rPr>
      <w:rFonts w:ascii="宋体" w:hAnsi="宋体" w:cs="宋体"/>
      <w:spacing w:val="30"/>
      <w:sz w:val="32"/>
      <w:szCs w:val="32"/>
    </w:rPr>
  </w:style>
  <w:style w:type="paragraph" w:customStyle="1" w:styleId="21">
    <w:name w:val="正文文本 (3)"/>
    <w:basedOn w:val="1"/>
    <w:qFormat/>
    <w:uiPriority w:val="0"/>
    <w:pPr>
      <w:spacing w:after="60"/>
      <w:jc w:val="center"/>
    </w:pPr>
    <w:rPr>
      <w:rFonts w:ascii="宋体" w:hAnsi="宋体" w:cs="宋体"/>
      <w:sz w:val="32"/>
      <w:szCs w:val="32"/>
      <w:lang w:val="zh-CN" w:bidi="zh-CN"/>
    </w:rPr>
  </w:style>
  <w:style w:type="paragraph" w:customStyle="1" w:styleId="22">
    <w:name w:val="其他"/>
    <w:basedOn w:val="1"/>
    <w:qFormat/>
    <w:uiPriority w:val="0"/>
    <w:pPr>
      <w:spacing w:line="362" w:lineRule="exact"/>
    </w:pPr>
    <w:rPr>
      <w:rFonts w:ascii="宋体" w:hAnsi="宋体" w:cs="宋体"/>
      <w:sz w:val="20"/>
      <w:szCs w:val="20"/>
      <w:lang w:val="zh-CN" w:bidi="zh-CN"/>
    </w:rPr>
  </w:style>
  <w:style w:type="character" w:customStyle="1" w:styleId="23">
    <w:name w:val="页眉 Char"/>
    <w:basedOn w:val="9"/>
    <w:link w:val="7"/>
    <w:semiHidden/>
    <w:uiPriority w:val="99"/>
    <w:rPr>
      <w:sz w:val="18"/>
      <w:szCs w:val="18"/>
    </w:rPr>
  </w:style>
  <w:style w:type="character" w:customStyle="1" w:styleId="24">
    <w:name w:val="页脚 Char"/>
    <w:basedOn w:val="9"/>
    <w:link w:val="6"/>
    <w:semiHidden/>
    <w:uiPriority w:val="99"/>
    <w:rPr>
      <w:sz w:val="18"/>
      <w:szCs w:val="18"/>
    </w:rPr>
  </w:style>
  <w:style w:type="character" w:customStyle="1" w:styleId="25">
    <w:name w:val="正文文本 Char"/>
    <w:basedOn w:val="9"/>
    <w:link w:val="4"/>
    <w:semiHidden/>
    <w:uiPriority w:val="99"/>
    <w:rPr>
      <w:rFonts w:ascii="Times New Roman" w:hAnsi="Times New Roman" w:eastAsia="宋体" w:cs="Times New Roman"/>
      <w:szCs w:val="24"/>
    </w:rPr>
  </w:style>
  <w:style w:type="character" w:customStyle="1" w:styleId="26">
    <w:name w:val="正文首行缩进 Char"/>
    <w:basedOn w:val="25"/>
    <w:link w:val="3"/>
    <w:uiPriority w:val="99"/>
    <w:rPr/>
  </w:style>
  <w:style w:type="character" w:customStyle="1" w:styleId="27">
    <w:name w:val="纯文本 Char"/>
    <w:basedOn w:val="9"/>
    <w:link w:val="5"/>
    <w:semiHidden/>
    <w:uiPriority w:val="99"/>
    <w:rPr>
      <w:rFonts w:ascii="宋体" w:hAnsi="Courier New" w:eastAsia="宋体" w:cs="Courier New"/>
      <w:szCs w:val="21"/>
    </w:rPr>
  </w:style>
  <w:style w:type="character" w:customStyle="1" w:styleId="28">
    <w:name w:val="标题 2 Char"/>
    <w:basedOn w:val="9"/>
    <w:link w:val="2"/>
    <w:uiPriority w:val="0"/>
    <w:rPr>
      <w:rFonts w:ascii="黑体" w:hAnsi="黑体" w:eastAsia="黑体" w:cs="宋体"/>
      <w:b/>
      <w:sz w:val="32"/>
      <w:szCs w:val="32"/>
    </w:rPr>
  </w:style>
  <w:style w:type="character" w:customStyle="1" w:styleId="29">
    <w:name w:val="UserStyle_1"/>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Pages>
  <Words>408</Words>
  <Characters>2330</Characters>
  <Lines>19</Lines>
  <Paragraphs>5</Paragraphs>
  <TotalTime>0</TotalTime>
  <ScaleCrop>false</ScaleCrop>
  <LinksUpToDate>false</LinksUpToDate>
  <CharactersWithSpaces>0</CharactersWithSpaces>
  <Application>WPS Office 专业版_9.1.0.4798_{F1E327BC-269C-435d-A152-05C5408002CA}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2021-11-11T02:36:00Z</dcterms:created>
  <dc:creator>AutoBVT</dc:creator>
  <cp:lastModifiedBy>Administrator</cp:lastModifiedBy>
  <dcterms:modified xsi:type="dcterms:W3CDTF">2022-09-22T03:50:29Z</dcterms:modified>
  <dc:title>附件1</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2052-9.1.0.4798</vt:lpwstr>
  </property>
</Properties>
</file>